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00096" w14:textId="0A323DD0" w:rsidR="00042E14" w:rsidRPr="00B8169A" w:rsidRDefault="00042E14" w:rsidP="00042E14">
      <w:pPr>
        <w:tabs>
          <w:tab w:val="right" w:pos="9639"/>
        </w:tabs>
        <w:spacing w:after="0"/>
        <w:rPr>
          <w:rFonts w:ascii="Arial" w:hAnsi="Arial"/>
          <w:b/>
          <w:i/>
          <w:noProof/>
          <w:sz w:val="28"/>
          <w:lang w:eastAsia="ko-KR"/>
        </w:rPr>
      </w:pPr>
      <w:r w:rsidRPr="00B8169A">
        <w:rPr>
          <w:rFonts w:ascii="Arial" w:hAnsi="Arial"/>
          <w:b/>
          <w:noProof/>
          <w:sz w:val="24"/>
        </w:rPr>
        <w:t>3GPP TSG-RAN WG2 Meeting #12</w:t>
      </w:r>
      <w:r w:rsidR="0046066C">
        <w:rPr>
          <w:rFonts w:ascii="Arial" w:hAnsi="Arial" w:hint="eastAsia"/>
          <w:b/>
          <w:noProof/>
          <w:sz w:val="24"/>
          <w:lang w:eastAsia="ko-KR"/>
        </w:rPr>
        <w:t>9</w:t>
      </w:r>
      <w:r w:rsidRPr="00B8169A">
        <w:rPr>
          <w:rFonts w:ascii="Arial" w:hAnsi="Arial"/>
          <w:b/>
          <w:i/>
          <w:noProof/>
          <w:sz w:val="28"/>
        </w:rPr>
        <w:tab/>
      </w:r>
      <w:r w:rsidRPr="00B8169A">
        <w:rPr>
          <w:rFonts w:ascii="Arial" w:hAnsi="Arial"/>
          <w:b/>
          <w:i/>
          <w:noProof/>
          <w:sz w:val="28"/>
          <w:lang w:eastAsia="ko-KR"/>
        </w:rPr>
        <w:t>R2-</w:t>
      </w:r>
      <w:r w:rsidR="00777F48" w:rsidRPr="00B8169A">
        <w:t xml:space="preserve"> </w:t>
      </w:r>
      <w:r w:rsidR="00DA438B" w:rsidRPr="00B8169A">
        <w:rPr>
          <w:rFonts w:ascii="Arial" w:hAnsi="Arial"/>
          <w:b/>
          <w:i/>
          <w:noProof/>
          <w:sz w:val="28"/>
          <w:lang w:eastAsia="ko-KR"/>
        </w:rPr>
        <w:t>2</w:t>
      </w:r>
      <w:r w:rsidR="00DA438B">
        <w:rPr>
          <w:rFonts w:ascii="Arial" w:hAnsi="Arial" w:hint="eastAsia"/>
          <w:b/>
          <w:i/>
          <w:noProof/>
          <w:sz w:val="28"/>
          <w:lang w:eastAsia="ko-KR"/>
        </w:rPr>
        <w:t>5</w:t>
      </w:r>
      <w:r w:rsidR="00DA438B" w:rsidRPr="00DA438B">
        <w:rPr>
          <w:rFonts w:ascii="Arial" w:hAnsi="Arial"/>
          <w:b/>
          <w:i/>
          <w:noProof/>
          <w:sz w:val="28"/>
          <w:lang w:eastAsia="ko-KR"/>
        </w:rPr>
        <w:t>00148</w:t>
      </w:r>
    </w:p>
    <w:p w14:paraId="0926CB29" w14:textId="61D15E2A" w:rsidR="00671B7F" w:rsidRPr="00B8169A" w:rsidRDefault="0083584A" w:rsidP="00042E14">
      <w:pPr>
        <w:widowControl w:val="0"/>
        <w:tabs>
          <w:tab w:val="left" w:pos="1701"/>
          <w:tab w:val="right" w:pos="9923"/>
        </w:tabs>
        <w:spacing w:before="120" w:after="0"/>
        <w:rPr>
          <w:rFonts w:ascii="Arial" w:eastAsiaTheme="minorEastAsia" w:hAnsi="Arial"/>
          <w:b/>
          <w:i/>
          <w:noProof/>
          <w:sz w:val="28"/>
          <w:lang w:eastAsia="ko-KR"/>
        </w:rPr>
      </w:pPr>
      <w:r w:rsidRPr="0083584A">
        <w:rPr>
          <w:rFonts w:ascii="Arial" w:hAnsi="Arial"/>
          <w:b/>
          <w:noProof/>
          <w:sz w:val="24"/>
          <w:lang w:eastAsia="ko-KR"/>
        </w:rPr>
        <w:t>Athens, Greece, 17th Feb – 21th Feb, 2025</w:t>
      </w:r>
      <w:r w:rsidR="00671B7F" w:rsidRPr="00B8169A">
        <w:rPr>
          <w:rFonts w:ascii="Arial" w:eastAsia="MS Mincho" w:hAnsi="Arial"/>
          <w:b/>
          <w:sz w:val="24"/>
          <w:szCs w:val="24"/>
          <w:lang w:eastAsia="x-none"/>
        </w:rPr>
        <w:tab/>
      </w:r>
    </w:p>
    <w:p w14:paraId="304CA708" w14:textId="77777777" w:rsidR="00671B7F" w:rsidRPr="00B8169A" w:rsidRDefault="00671B7F" w:rsidP="00671B7F">
      <w:pPr>
        <w:pStyle w:val="CRCoverPage"/>
        <w:tabs>
          <w:tab w:val="right" w:pos="9639"/>
        </w:tabs>
        <w:spacing w:after="0"/>
        <w:rPr>
          <w:rFonts w:eastAsia="맑은 고딕"/>
          <w:b/>
          <w:noProof/>
          <w:sz w:val="24"/>
          <w:lang w:eastAsia="ko-KR"/>
        </w:rPr>
      </w:pPr>
    </w:p>
    <w:p w14:paraId="3666D74B" w14:textId="34548919" w:rsidR="00172A7A" w:rsidRPr="00B8169A" w:rsidRDefault="00172A7A" w:rsidP="00172A7A">
      <w:pPr>
        <w:tabs>
          <w:tab w:val="left" w:pos="1843"/>
        </w:tabs>
        <w:spacing w:after="60" w:line="288" w:lineRule="auto"/>
        <w:jc w:val="both"/>
        <w:rPr>
          <w:rFonts w:ascii="Arial" w:hAnsi="Arial" w:cs="Arial"/>
          <w:b/>
          <w:noProof/>
          <w:sz w:val="28"/>
          <w:szCs w:val="28"/>
          <w:lang w:val="en-US" w:eastAsia="ko-KR"/>
        </w:rPr>
      </w:pPr>
      <w:r w:rsidRPr="00B8169A">
        <w:rPr>
          <w:rFonts w:ascii="Arial" w:hAnsi="Arial" w:cs="Arial"/>
          <w:b/>
          <w:noProof/>
          <w:sz w:val="28"/>
          <w:szCs w:val="28"/>
          <w:lang w:val="en-US"/>
        </w:rPr>
        <w:t>Agenda Item</w:t>
      </w:r>
      <w:r w:rsidRPr="00B8169A">
        <w:rPr>
          <w:rFonts w:ascii="Arial" w:hAnsi="Arial" w:cs="Arial"/>
          <w:b/>
          <w:noProof/>
          <w:sz w:val="28"/>
          <w:szCs w:val="28"/>
          <w:lang w:val="en-US"/>
        </w:rPr>
        <w:tab/>
      </w:r>
      <w:r w:rsidRPr="00B8169A">
        <w:rPr>
          <w:rFonts w:ascii="Arial" w:hAnsi="Arial" w:cs="Arial"/>
          <w:b/>
          <w:noProof/>
          <w:sz w:val="28"/>
          <w:szCs w:val="28"/>
          <w:lang w:val="en-US"/>
        </w:rPr>
        <w:tab/>
        <w:t>:</w:t>
      </w:r>
      <w:r w:rsidRPr="00B8169A">
        <w:rPr>
          <w:rFonts w:ascii="Arial" w:hAnsi="Arial" w:cs="Arial"/>
          <w:b/>
          <w:noProof/>
          <w:sz w:val="28"/>
          <w:szCs w:val="28"/>
          <w:lang w:val="en-US"/>
        </w:rPr>
        <w:tab/>
      </w:r>
      <w:r w:rsidRPr="00B8169A">
        <w:rPr>
          <w:rFonts w:ascii="Arial" w:hAnsi="Arial" w:cs="Arial" w:hint="eastAsia"/>
          <w:b/>
          <w:noProof/>
          <w:sz w:val="28"/>
          <w:szCs w:val="28"/>
          <w:lang w:val="en-US" w:eastAsia="ko-KR"/>
        </w:rPr>
        <w:t>8.8.</w:t>
      </w:r>
      <w:r w:rsidR="00AF48F1" w:rsidRPr="00B8169A">
        <w:rPr>
          <w:rFonts w:ascii="Arial" w:hAnsi="Arial" w:cs="Arial" w:hint="eastAsia"/>
          <w:b/>
          <w:noProof/>
          <w:sz w:val="28"/>
          <w:szCs w:val="28"/>
          <w:lang w:val="en-US" w:eastAsia="ko-KR"/>
        </w:rPr>
        <w:t>2</w:t>
      </w:r>
      <w:r w:rsidR="00D55BED">
        <w:rPr>
          <w:rFonts w:ascii="Arial" w:hAnsi="Arial" w:cs="Arial" w:hint="eastAsia"/>
          <w:b/>
          <w:noProof/>
          <w:sz w:val="28"/>
          <w:szCs w:val="28"/>
          <w:lang w:val="en-US" w:eastAsia="ko-KR"/>
        </w:rPr>
        <w:t xml:space="preserve"> </w:t>
      </w:r>
    </w:p>
    <w:p w14:paraId="225E1E15" w14:textId="77777777" w:rsidR="00172A7A" w:rsidRPr="00B8169A" w:rsidRDefault="00172A7A" w:rsidP="00172A7A">
      <w:pPr>
        <w:tabs>
          <w:tab w:val="left" w:pos="1843"/>
        </w:tabs>
        <w:spacing w:after="60" w:line="288" w:lineRule="auto"/>
        <w:jc w:val="both"/>
        <w:rPr>
          <w:rFonts w:ascii="Arial" w:hAnsi="Arial" w:cs="Arial"/>
          <w:b/>
          <w:noProof/>
          <w:sz w:val="28"/>
          <w:szCs w:val="28"/>
          <w:lang w:val="en-US"/>
        </w:rPr>
      </w:pPr>
      <w:r w:rsidRPr="00B8169A">
        <w:rPr>
          <w:rFonts w:ascii="Arial" w:hAnsi="Arial" w:cs="Arial"/>
          <w:b/>
          <w:noProof/>
          <w:sz w:val="28"/>
          <w:szCs w:val="28"/>
          <w:lang w:val="en-US"/>
        </w:rPr>
        <w:t>Source</w:t>
      </w:r>
      <w:r w:rsidRPr="00B8169A">
        <w:rPr>
          <w:rFonts w:ascii="Arial" w:hAnsi="Arial" w:cs="Arial"/>
          <w:b/>
          <w:noProof/>
          <w:sz w:val="28"/>
          <w:szCs w:val="28"/>
          <w:lang w:val="en-US"/>
        </w:rPr>
        <w:tab/>
      </w:r>
      <w:r w:rsidRPr="00B8169A">
        <w:rPr>
          <w:rFonts w:ascii="Arial" w:hAnsi="Arial" w:cs="Arial"/>
          <w:b/>
          <w:noProof/>
          <w:sz w:val="28"/>
          <w:szCs w:val="28"/>
          <w:lang w:val="en-US"/>
        </w:rPr>
        <w:tab/>
        <w:t>:</w:t>
      </w:r>
      <w:r w:rsidRPr="00B8169A">
        <w:rPr>
          <w:rFonts w:ascii="Arial" w:hAnsi="Arial" w:cs="Arial"/>
          <w:b/>
          <w:noProof/>
          <w:sz w:val="28"/>
          <w:szCs w:val="28"/>
          <w:lang w:val="en-US"/>
        </w:rPr>
        <w:tab/>
        <w:t>LG Electronics Inc.</w:t>
      </w:r>
    </w:p>
    <w:p w14:paraId="0FB4CA33" w14:textId="734635F2" w:rsidR="00172A7A" w:rsidRPr="00B8169A" w:rsidRDefault="00172A7A" w:rsidP="00172A7A">
      <w:pPr>
        <w:tabs>
          <w:tab w:val="left" w:pos="1843"/>
        </w:tabs>
        <w:spacing w:after="60" w:line="288" w:lineRule="auto"/>
        <w:jc w:val="both"/>
        <w:rPr>
          <w:rFonts w:ascii="Arial" w:hAnsi="Arial" w:cs="Arial"/>
          <w:b/>
          <w:noProof/>
          <w:sz w:val="28"/>
          <w:szCs w:val="28"/>
          <w:lang w:val="en-US" w:eastAsia="ko-KR"/>
        </w:rPr>
      </w:pPr>
      <w:r w:rsidRPr="00B8169A">
        <w:rPr>
          <w:rFonts w:ascii="Arial" w:hAnsi="Arial" w:cs="Arial"/>
          <w:b/>
          <w:noProof/>
          <w:sz w:val="28"/>
          <w:szCs w:val="28"/>
          <w:lang w:val="en-US"/>
        </w:rPr>
        <w:t>Title</w:t>
      </w:r>
      <w:r w:rsidRPr="00B8169A">
        <w:rPr>
          <w:rFonts w:ascii="Arial" w:hAnsi="Arial" w:cs="Arial"/>
          <w:b/>
          <w:noProof/>
          <w:sz w:val="28"/>
          <w:szCs w:val="28"/>
          <w:lang w:val="en-US"/>
        </w:rPr>
        <w:tab/>
      </w:r>
      <w:r w:rsidRPr="00B8169A">
        <w:rPr>
          <w:rFonts w:ascii="Arial" w:hAnsi="Arial" w:cs="Arial"/>
          <w:b/>
          <w:noProof/>
          <w:sz w:val="28"/>
          <w:szCs w:val="28"/>
          <w:lang w:val="en-US"/>
        </w:rPr>
        <w:tab/>
        <w:t>:</w:t>
      </w:r>
      <w:r w:rsidRPr="00B8169A">
        <w:rPr>
          <w:rFonts w:ascii="Arial" w:hAnsi="Arial" w:cs="Arial"/>
          <w:b/>
          <w:noProof/>
          <w:sz w:val="28"/>
          <w:szCs w:val="28"/>
          <w:lang w:val="en-US"/>
        </w:rPr>
        <w:tab/>
      </w:r>
      <w:r w:rsidRPr="00B8169A">
        <w:rPr>
          <w:rFonts w:ascii="Arial" w:hAnsi="Arial" w:cs="Arial"/>
          <w:b/>
          <w:noProof/>
          <w:w w:val="99"/>
          <w:sz w:val="28"/>
          <w:szCs w:val="28"/>
          <w:lang w:val="en-US"/>
        </w:rPr>
        <w:t xml:space="preserve">Discussion on </w:t>
      </w:r>
      <w:r w:rsidR="00AF48F1" w:rsidRPr="00B8169A">
        <w:rPr>
          <w:rFonts w:ascii="Arial" w:hAnsi="Arial" w:cs="Arial" w:hint="eastAsia"/>
          <w:b/>
          <w:noProof/>
          <w:w w:val="99"/>
          <w:sz w:val="28"/>
          <w:szCs w:val="28"/>
          <w:lang w:val="en-US" w:eastAsia="ko-KR"/>
        </w:rPr>
        <w:t>downlink coverage enhancement</w:t>
      </w:r>
    </w:p>
    <w:p w14:paraId="25BDAD58" w14:textId="77777777" w:rsidR="00172A7A" w:rsidRPr="00B8169A" w:rsidRDefault="00172A7A" w:rsidP="00172A7A">
      <w:pPr>
        <w:tabs>
          <w:tab w:val="left" w:pos="1843"/>
        </w:tabs>
        <w:spacing w:after="60" w:line="288" w:lineRule="auto"/>
        <w:jc w:val="both"/>
        <w:rPr>
          <w:rFonts w:ascii="Arial" w:hAnsi="Arial" w:cs="Arial"/>
          <w:b/>
          <w:noProof/>
          <w:sz w:val="28"/>
          <w:szCs w:val="28"/>
          <w:lang w:val="en-US"/>
        </w:rPr>
      </w:pPr>
      <w:r w:rsidRPr="00B8169A">
        <w:rPr>
          <w:rFonts w:ascii="Arial" w:hAnsi="Arial" w:cs="Arial"/>
          <w:b/>
          <w:noProof/>
          <w:sz w:val="28"/>
          <w:szCs w:val="28"/>
          <w:lang w:val="en-US"/>
        </w:rPr>
        <w:t>Document for</w:t>
      </w:r>
      <w:r w:rsidRPr="00B8169A">
        <w:rPr>
          <w:rFonts w:ascii="Arial" w:hAnsi="Arial" w:cs="Arial"/>
          <w:b/>
          <w:noProof/>
          <w:sz w:val="28"/>
          <w:szCs w:val="28"/>
          <w:lang w:val="en-US"/>
        </w:rPr>
        <w:tab/>
      </w:r>
      <w:r w:rsidRPr="00B8169A">
        <w:rPr>
          <w:rFonts w:ascii="Arial" w:hAnsi="Arial" w:cs="Arial"/>
          <w:b/>
          <w:noProof/>
          <w:sz w:val="28"/>
          <w:szCs w:val="28"/>
          <w:lang w:val="en-US"/>
        </w:rPr>
        <w:tab/>
        <w:t>:</w:t>
      </w:r>
      <w:r w:rsidRPr="00B8169A">
        <w:rPr>
          <w:rFonts w:ascii="Arial" w:hAnsi="Arial" w:cs="Arial"/>
          <w:b/>
          <w:noProof/>
          <w:sz w:val="28"/>
          <w:szCs w:val="28"/>
          <w:lang w:val="en-US"/>
        </w:rPr>
        <w:tab/>
        <w:t>Discussion and Decision</w:t>
      </w:r>
    </w:p>
    <w:p w14:paraId="1E33C7AB" w14:textId="2A54BA3A" w:rsidR="000E0852" w:rsidRPr="00B8169A" w:rsidRDefault="00B02523" w:rsidP="0080582F">
      <w:pPr>
        <w:pStyle w:val="1"/>
        <w:rPr>
          <w:rFonts w:ascii="Times New Roman" w:hAnsi="Times New Roman"/>
          <w:lang w:val="en-US" w:eastAsia="ko-KR"/>
        </w:rPr>
      </w:pPr>
      <w:r w:rsidRPr="00B8169A">
        <w:rPr>
          <w:rFonts w:hint="eastAsia"/>
          <w:lang w:val="en-US" w:eastAsia="ko-KR"/>
        </w:rPr>
        <w:t>1. Introduction</w:t>
      </w:r>
    </w:p>
    <w:p w14:paraId="509C4EEC" w14:textId="53950E0D" w:rsidR="00AF1EA4" w:rsidRPr="00652CA0" w:rsidRDefault="00AF1EA4" w:rsidP="00AF1EA4">
      <w:pPr>
        <w:ind w:firstLine="284"/>
        <w:jc w:val="both"/>
        <w:rPr>
          <w:lang w:val="en-US" w:eastAsia="ko-KR"/>
        </w:rPr>
      </w:pPr>
      <w:r>
        <w:rPr>
          <w:rFonts w:eastAsiaTheme="minorEastAsia"/>
        </w:rPr>
        <w:t>According to the RAN plenary #</w:t>
      </w:r>
      <w:r w:rsidR="000C2E9D">
        <w:rPr>
          <w:rFonts w:eastAsiaTheme="minorEastAsia"/>
        </w:rPr>
        <w:t>10</w:t>
      </w:r>
      <w:r w:rsidR="000C2E9D">
        <w:rPr>
          <w:rFonts w:eastAsiaTheme="minorEastAsia" w:hint="eastAsia"/>
          <w:lang w:eastAsia="ko-KR"/>
        </w:rPr>
        <w:t xml:space="preserve">6 </w:t>
      </w:r>
      <w:r>
        <w:rPr>
          <w:rFonts w:eastAsiaTheme="minorEastAsia"/>
        </w:rPr>
        <w:t xml:space="preserve">meeting, the approved work item on NTN for NR contains the following objective on DL coverage enhancements </w:t>
      </w:r>
      <w:r>
        <w:rPr>
          <w:rFonts w:eastAsiaTheme="minorEastAsia"/>
        </w:rPr>
        <w:fldChar w:fldCharType="begin"/>
      </w:r>
      <w:r>
        <w:rPr>
          <w:rFonts w:eastAsiaTheme="minorEastAsia"/>
        </w:rPr>
        <w:instrText xml:space="preserve"> REF _Ref162876418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w:t>
      </w:r>
    </w:p>
    <w:tbl>
      <w:tblPr>
        <w:tblStyle w:val="af4"/>
        <w:tblW w:w="0" w:type="auto"/>
        <w:tblLook w:val="04A0" w:firstRow="1" w:lastRow="0" w:firstColumn="1" w:lastColumn="0" w:noHBand="0" w:noVBand="1"/>
      </w:tblPr>
      <w:tblGrid>
        <w:gridCol w:w="9629"/>
      </w:tblGrid>
      <w:tr w:rsidR="00AF1EA4" w:rsidRPr="00A30AEE" w14:paraId="5EE5DFB4" w14:textId="77777777" w:rsidTr="004C2595">
        <w:tc>
          <w:tcPr>
            <w:tcW w:w="9629" w:type="dxa"/>
          </w:tcPr>
          <w:p w14:paraId="6B531B90" w14:textId="77777777" w:rsidR="00AF1EA4" w:rsidRPr="0046066C" w:rsidRDefault="00AF1EA4" w:rsidP="00AF1EA4">
            <w:pPr>
              <w:overflowPunct w:val="0"/>
              <w:autoSpaceDE w:val="0"/>
              <w:autoSpaceDN w:val="0"/>
              <w:adjustRightInd w:val="0"/>
              <w:spacing w:after="0" w:line="276" w:lineRule="auto"/>
              <w:textAlignment w:val="baseline"/>
              <w:rPr>
                <w:rFonts w:eastAsia="SimSun"/>
                <w:bCs/>
                <w:lang w:eastAsia="en-GB"/>
              </w:rPr>
            </w:pPr>
            <w:r w:rsidRPr="0046066C">
              <w:rPr>
                <w:rFonts w:eastAsia="SimSun"/>
                <w:bCs/>
                <w:lang w:eastAsia="en-GB"/>
              </w:rPr>
              <w:t>The</w:t>
            </w:r>
            <w:r w:rsidRPr="0046066C">
              <w:rPr>
                <w:rFonts w:eastAsia="SimSun" w:hint="eastAsia"/>
                <w:bCs/>
                <w:lang w:eastAsia="en-GB"/>
              </w:rPr>
              <w:t xml:space="preserve"> </w:t>
            </w:r>
            <w:r w:rsidRPr="0046066C">
              <w:rPr>
                <w:rFonts w:eastAsia="SimSun"/>
                <w:bCs/>
                <w:lang w:eastAsia="en-GB"/>
              </w:rPr>
              <w:t>objectives of the work item are the following:</w:t>
            </w:r>
          </w:p>
          <w:p w14:paraId="6E5562EA" w14:textId="77777777" w:rsidR="00AF1EA4" w:rsidRPr="0046066C" w:rsidRDefault="00AF1EA4" w:rsidP="00AF1EA4">
            <w:pPr>
              <w:overflowPunct w:val="0"/>
              <w:autoSpaceDE w:val="0"/>
              <w:autoSpaceDN w:val="0"/>
              <w:adjustRightInd w:val="0"/>
              <w:spacing w:after="0" w:line="276" w:lineRule="auto"/>
              <w:textAlignment w:val="baseline"/>
              <w:rPr>
                <w:rFonts w:eastAsia="SimSun"/>
                <w:bCs/>
                <w:lang w:eastAsia="en-GB"/>
              </w:rPr>
            </w:pPr>
          </w:p>
          <w:p w14:paraId="5CC091BC" w14:textId="77777777" w:rsidR="00AF1EA4" w:rsidRPr="0046066C" w:rsidRDefault="00AF1EA4" w:rsidP="00AF1EA4">
            <w:pPr>
              <w:numPr>
                <w:ilvl w:val="0"/>
                <w:numId w:val="26"/>
              </w:numPr>
              <w:overflowPunct w:val="0"/>
              <w:autoSpaceDE w:val="0"/>
              <w:autoSpaceDN w:val="0"/>
              <w:adjustRightInd w:val="0"/>
              <w:spacing w:after="0" w:line="276" w:lineRule="auto"/>
              <w:textAlignment w:val="baseline"/>
              <w:rPr>
                <w:rFonts w:eastAsia="Calibri"/>
                <w:lang w:val="en-US" w:eastAsia="ko-KR"/>
              </w:rPr>
            </w:pPr>
            <w:r w:rsidRPr="0046066C">
              <w:rPr>
                <w:rFonts w:eastAsia="Calibri"/>
                <w:lang w:val="en-US" w:eastAsia="ko-KR"/>
              </w:rPr>
              <w:t>Specify downlink coverage enhancements targeting support for additional reference satellite payload parameters covering both GSO and NGSO constellations operating in FR1-NTN or FR2-NTN [RAN1, RAN2, RAN4]</w:t>
            </w:r>
          </w:p>
          <w:p w14:paraId="62A3B455" w14:textId="77777777" w:rsidR="00AF1EA4" w:rsidRPr="0046066C" w:rsidRDefault="00AF1EA4" w:rsidP="00AF1EA4">
            <w:pPr>
              <w:widowControl w:val="0"/>
              <w:numPr>
                <w:ilvl w:val="0"/>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46066C">
              <w:rPr>
                <w:rFonts w:eastAsia="Calibri"/>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D4A1551" w14:textId="77777777" w:rsidR="00AF1EA4" w:rsidRPr="0046066C" w:rsidRDefault="00AF1EA4" w:rsidP="00AF1EA4">
            <w:pPr>
              <w:widowControl w:val="0"/>
              <w:numPr>
                <w:ilvl w:val="0"/>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46066C">
              <w:rPr>
                <w:rFonts w:eastAsia="Calibri"/>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E20A89A" w14:textId="77777777" w:rsidR="00AF1EA4" w:rsidRPr="0046066C" w:rsidRDefault="00AF1EA4" w:rsidP="00AF1EA4">
            <w:pPr>
              <w:widowControl w:val="0"/>
              <w:numPr>
                <w:ilvl w:val="0"/>
                <w:numId w:val="27"/>
              </w:numPr>
              <w:tabs>
                <w:tab w:val="left" w:pos="0"/>
              </w:tabs>
              <w:overflowPunct w:val="0"/>
              <w:autoSpaceDE w:val="0"/>
              <w:autoSpaceDN w:val="0"/>
              <w:adjustRightInd w:val="0"/>
              <w:spacing w:after="0" w:line="276" w:lineRule="auto"/>
              <w:contextualSpacing/>
              <w:jc w:val="both"/>
              <w:textAlignment w:val="baseline"/>
              <w:rPr>
                <w:rFonts w:eastAsia="Calibri"/>
                <w:lang w:val="en-US" w:eastAsia="zh-CN"/>
              </w:rPr>
            </w:pPr>
            <w:r w:rsidRPr="0046066C">
              <w:rPr>
                <w:rFonts w:eastAsia="Calibri"/>
                <w:lang w:val="en-US"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5F11688" w14:textId="77777777" w:rsidR="00AF1EA4" w:rsidRPr="0046066C" w:rsidRDefault="00AF1EA4" w:rsidP="00AF1EA4">
            <w:pPr>
              <w:widowControl w:val="0"/>
              <w:numPr>
                <w:ilvl w:val="1"/>
                <w:numId w:val="27"/>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46066C">
              <w:rPr>
                <w:rFonts w:eastAsia="Calibri"/>
                <w:szCs w:val="22"/>
                <w:lang w:val="en-US" w:eastAsia="zh-CN"/>
              </w:rPr>
              <w:t>Link level enhancements are to be specified for the following channels:</w:t>
            </w:r>
          </w:p>
          <w:p w14:paraId="2CFA192D" w14:textId="77777777" w:rsidR="00AF1EA4" w:rsidRPr="0046066C" w:rsidRDefault="00AF1EA4" w:rsidP="00AF1EA4">
            <w:pPr>
              <w:widowControl w:val="0"/>
              <w:numPr>
                <w:ilvl w:val="2"/>
                <w:numId w:val="27"/>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46066C">
              <w:rPr>
                <w:rFonts w:eastAsia="Calibri"/>
                <w:szCs w:val="22"/>
                <w:lang w:val="en-US" w:eastAsia="zh-CN"/>
              </w:rPr>
              <w:t>PDCCH at least for CSS (except for Type-3) via PDCCH repetition</w:t>
            </w:r>
          </w:p>
          <w:p w14:paraId="11A4AEEA" w14:textId="77777777" w:rsidR="00AF1EA4" w:rsidRPr="0046066C" w:rsidRDefault="00AF1EA4" w:rsidP="00AF1EA4">
            <w:pPr>
              <w:widowControl w:val="0"/>
              <w:numPr>
                <w:ilvl w:val="2"/>
                <w:numId w:val="27"/>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46066C">
              <w:rPr>
                <w:rFonts w:eastAsia="Calibri"/>
                <w:szCs w:val="22"/>
                <w:lang w:val="en-US" w:eastAsia="zh-CN"/>
              </w:rPr>
              <w:t>PDSCH with Msg4 via PDSCH repetition</w:t>
            </w:r>
          </w:p>
          <w:p w14:paraId="75D6F922" w14:textId="77777777" w:rsidR="00AF1EA4" w:rsidRPr="0046066C" w:rsidRDefault="00AF1EA4" w:rsidP="00AF1EA4">
            <w:pPr>
              <w:widowControl w:val="0"/>
              <w:numPr>
                <w:ilvl w:val="2"/>
                <w:numId w:val="27"/>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46066C">
              <w:rPr>
                <w:rFonts w:eastAsia="Calibri"/>
                <w:szCs w:val="22"/>
                <w:lang w:val="en-US" w:eastAsia="zh-CN"/>
              </w:rPr>
              <w:t>PDSCH with SIB1 via 2 PDSCH repetitions within 20 ms duration</w:t>
            </w:r>
          </w:p>
          <w:p w14:paraId="53207B0C" w14:textId="77777777" w:rsidR="00AF1EA4" w:rsidRPr="0046066C" w:rsidRDefault="00AF1EA4" w:rsidP="00AF1EA4">
            <w:pPr>
              <w:widowControl w:val="0"/>
              <w:numPr>
                <w:ilvl w:val="1"/>
                <w:numId w:val="27"/>
              </w:numPr>
              <w:tabs>
                <w:tab w:val="left" w:pos="0"/>
              </w:tabs>
              <w:overflowPunct w:val="0"/>
              <w:autoSpaceDE w:val="0"/>
              <w:autoSpaceDN w:val="0"/>
              <w:adjustRightInd w:val="0"/>
              <w:spacing w:after="0" w:line="276" w:lineRule="auto"/>
              <w:contextualSpacing/>
              <w:jc w:val="both"/>
              <w:textAlignment w:val="baseline"/>
              <w:rPr>
                <w:rFonts w:eastAsia="Calibri"/>
                <w:szCs w:val="22"/>
                <w:highlight w:val="yellow"/>
                <w:lang w:val="en-US" w:eastAsia="zh-CN"/>
              </w:rPr>
            </w:pPr>
            <w:r w:rsidRPr="0046066C">
              <w:rPr>
                <w:rFonts w:eastAsia="Calibri"/>
                <w:szCs w:val="22"/>
                <w:highlight w:val="yellow"/>
                <w:lang w:val="en-US" w:eastAsia="zh-CN"/>
              </w:rPr>
              <w:t>System-level enhancements are to be specified for the following:</w:t>
            </w:r>
          </w:p>
          <w:p w14:paraId="201D5234" w14:textId="77777777" w:rsidR="00AF1EA4" w:rsidRPr="0046066C" w:rsidRDefault="00AF1EA4" w:rsidP="00AF1EA4">
            <w:pPr>
              <w:numPr>
                <w:ilvl w:val="2"/>
                <w:numId w:val="27"/>
              </w:numPr>
              <w:overflowPunct w:val="0"/>
              <w:autoSpaceDE w:val="0"/>
              <w:autoSpaceDN w:val="0"/>
              <w:adjustRightInd w:val="0"/>
              <w:snapToGrid w:val="0"/>
              <w:spacing w:after="120"/>
              <w:jc w:val="both"/>
              <w:textAlignment w:val="baseline"/>
              <w:rPr>
                <w:rFonts w:eastAsia="Calibri"/>
                <w:szCs w:val="22"/>
                <w:highlight w:val="yellow"/>
                <w:lang w:val="en-US" w:eastAsia="zh-CN"/>
              </w:rPr>
            </w:pPr>
            <w:r w:rsidRPr="0046066C">
              <w:rPr>
                <w:rFonts w:eastAsia="Calibri"/>
                <w:szCs w:val="22"/>
                <w:highlight w:val="yellow"/>
                <w:lang w:val="en-US" w:eastAsia="zh-CN"/>
              </w:rPr>
              <w:t>Support of extended periodicity of the half frames with SS/PBCH blocks assumed by UE during initial access.</w:t>
            </w:r>
          </w:p>
          <w:p w14:paraId="1FE75C60" w14:textId="77777777" w:rsidR="00AF1EA4" w:rsidRPr="0046066C" w:rsidRDefault="00AF1EA4" w:rsidP="00AF1EA4">
            <w:pPr>
              <w:numPr>
                <w:ilvl w:val="3"/>
                <w:numId w:val="27"/>
              </w:numPr>
              <w:overflowPunct w:val="0"/>
              <w:autoSpaceDE w:val="0"/>
              <w:autoSpaceDN w:val="0"/>
              <w:adjustRightInd w:val="0"/>
              <w:snapToGrid w:val="0"/>
              <w:spacing w:after="120"/>
              <w:jc w:val="both"/>
              <w:textAlignment w:val="baseline"/>
              <w:rPr>
                <w:rFonts w:eastAsia="Calibri"/>
                <w:szCs w:val="22"/>
                <w:highlight w:val="yellow"/>
                <w:lang w:val="en-US" w:eastAsia="zh-CN"/>
              </w:rPr>
            </w:pPr>
            <w:r w:rsidRPr="0046066C">
              <w:rPr>
                <w:rFonts w:eastAsia="Calibri"/>
                <w:szCs w:val="22"/>
                <w:highlight w:val="yellow"/>
                <w:lang w:val="en-US" w:eastAsia="zh-CN"/>
              </w:rPr>
              <w:t>The maximum of the additional default value (apart from the existing 20ms value) is 160 ms</w:t>
            </w:r>
          </w:p>
          <w:p w14:paraId="09CF8D4B" w14:textId="77777777" w:rsidR="00AF1EA4" w:rsidRPr="0046066C" w:rsidRDefault="00AF1EA4" w:rsidP="00AF1EA4">
            <w:pPr>
              <w:widowControl w:val="0"/>
              <w:numPr>
                <w:ilvl w:val="0"/>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46066C">
              <w:rPr>
                <w:rFonts w:eastAsia="Calibri"/>
                <w:lang w:val="en-US" w:eastAsia="zh-CN"/>
              </w:rPr>
              <w:t>Notes for this objective:</w:t>
            </w:r>
          </w:p>
          <w:p w14:paraId="7A6C357B" w14:textId="77777777" w:rsidR="00AF1EA4" w:rsidRPr="0046066C" w:rsidRDefault="00AF1EA4" w:rsidP="00AF1EA4">
            <w:pPr>
              <w:widowControl w:val="0"/>
              <w:numPr>
                <w:ilvl w:val="1"/>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46066C">
              <w:rPr>
                <w:rFonts w:eastAsia="Calibri"/>
                <w:lang w:val="en-US" w:eastAsia="zh-CN"/>
              </w:rPr>
              <w:t>SSB channel enhancement other than SSB periodicity extension is not considered</w:t>
            </w:r>
          </w:p>
          <w:p w14:paraId="244CBB94" w14:textId="77777777" w:rsidR="00AF1EA4" w:rsidRPr="0046066C" w:rsidRDefault="00AF1EA4" w:rsidP="00AF1EA4">
            <w:pPr>
              <w:widowControl w:val="0"/>
              <w:numPr>
                <w:ilvl w:val="2"/>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46066C">
              <w:rPr>
                <w:rFonts w:eastAsia="Calibri"/>
                <w:lang w:val="en-US" w:eastAsia="zh-CN"/>
              </w:rPr>
              <w:t>RAN1 should consider issues such as UE’s cell search complexity and impact to initial cell selection, latency and success rate, for the above extension</w:t>
            </w:r>
          </w:p>
          <w:p w14:paraId="2EC4D50A" w14:textId="77777777" w:rsidR="00AF1EA4" w:rsidRPr="0046066C" w:rsidRDefault="00AF1EA4" w:rsidP="00AF1EA4">
            <w:pPr>
              <w:widowControl w:val="0"/>
              <w:numPr>
                <w:ilvl w:val="1"/>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46066C">
              <w:rPr>
                <w:rFonts w:eastAsia="Calibri"/>
                <w:lang w:val="en-US" w:eastAsia="zh-CN"/>
              </w:rPr>
              <w:t>The SSB periodicity enhancements potentially defined in this WID only apply to NTN operation</w:t>
            </w:r>
          </w:p>
          <w:p w14:paraId="502DA3EB" w14:textId="77777777" w:rsidR="00AF1EA4" w:rsidRPr="0046066C" w:rsidRDefault="00AF1EA4" w:rsidP="00AF1EA4">
            <w:pPr>
              <w:widowControl w:val="0"/>
              <w:numPr>
                <w:ilvl w:val="1"/>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46066C">
              <w:rPr>
                <w:rFonts w:eastAsia="Calibri"/>
                <w:lang w:val="en-US" w:eastAsia="zh-CN"/>
              </w:rPr>
              <w:t>Antenna gain of UE shall be assumed to be -5.5dBi in case of smartphone in FR1-NTN, the UE is assumed to be a full duplex UE, and at least 2Rx are considered at the UE</w:t>
            </w:r>
          </w:p>
          <w:p w14:paraId="01F64C8F" w14:textId="77777777" w:rsidR="00AF1EA4" w:rsidRPr="0046066C" w:rsidRDefault="00AF1EA4" w:rsidP="00AF1EA4">
            <w:pPr>
              <w:widowControl w:val="0"/>
              <w:numPr>
                <w:ilvl w:val="1"/>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46066C">
              <w:rPr>
                <w:rFonts w:eastAsia="Calibri"/>
                <w:lang w:val="en-US" w:eastAsia="zh-CN"/>
              </w:rPr>
              <w:t>NGSO to be considered in priority: LEO Set-1 @ 600 km</w:t>
            </w:r>
          </w:p>
          <w:p w14:paraId="2BF7DCFF" w14:textId="27B78778" w:rsidR="00AF1EA4" w:rsidRPr="00AF1EA4" w:rsidRDefault="00AF1EA4" w:rsidP="00AF1EA4">
            <w:pPr>
              <w:widowControl w:val="0"/>
              <w:overflowPunct w:val="0"/>
              <w:autoSpaceDE w:val="0"/>
              <w:autoSpaceDN w:val="0"/>
              <w:adjustRightInd w:val="0"/>
              <w:spacing w:after="0" w:line="276" w:lineRule="auto"/>
              <w:ind w:left="1440"/>
              <w:contextualSpacing/>
              <w:jc w:val="both"/>
              <w:textAlignment w:val="baseline"/>
              <w:rPr>
                <w:rFonts w:eastAsia="Calibri"/>
                <w:lang w:val="en-US" w:eastAsia="zh-CN"/>
              </w:rPr>
            </w:pPr>
          </w:p>
        </w:tc>
      </w:tr>
    </w:tbl>
    <w:p w14:paraId="395E72A2" w14:textId="77777777" w:rsidR="00AF1EA4" w:rsidRPr="00AF1EA4" w:rsidRDefault="00AF1EA4" w:rsidP="000E0852">
      <w:pPr>
        <w:ind w:firstLine="284"/>
        <w:jc w:val="both"/>
        <w:rPr>
          <w:rFonts w:eastAsiaTheme="minorEastAsia"/>
          <w:lang w:eastAsia="ko-KR"/>
        </w:rPr>
      </w:pPr>
    </w:p>
    <w:p w14:paraId="437FAF9B" w14:textId="7B59A6BC" w:rsidR="000E0852" w:rsidRPr="00B8169A" w:rsidRDefault="000E0852" w:rsidP="000E0852">
      <w:pPr>
        <w:ind w:firstLine="284"/>
        <w:jc w:val="both"/>
        <w:rPr>
          <w:rFonts w:eastAsiaTheme="minorEastAsia"/>
          <w:lang w:val="en-US" w:eastAsia="ko-KR"/>
        </w:rPr>
      </w:pPr>
      <w:r w:rsidRPr="00B8169A">
        <w:rPr>
          <w:rFonts w:eastAsia="Calibri"/>
          <w:lang w:val="en-US" w:eastAsia="zh-CN"/>
        </w:rPr>
        <w:t>During RAN2 #12</w:t>
      </w:r>
      <w:r w:rsidR="0046066C">
        <w:rPr>
          <w:rFonts w:eastAsiaTheme="minorEastAsia" w:hint="eastAsia"/>
          <w:lang w:val="en-US" w:eastAsia="ko-KR"/>
        </w:rPr>
        <w:t>8</w:t>
      </w:r>
      <w:r w:rsidR="0080582F" w:rsidRPr="00B8169A">
        <w:rPr>
          <w:rFonts w:eastAsiaTheme="minorEastAsia" w:hint="eastAsia"/>
          <w:lang w:val="en-US" w:eastAsia="ko-KR"/>
        </w:rPr>
        <w:t xml:space="preserve"> </w:t>
      </w:r>
      <w:r w:rsidRPr="00B8169A">
        <w:rPr>
          <w:rFonts w:eastAsia="Calibri"/>
          <w:lang w:val="en-US" w:eastAsia="zh-CN"/>
        </w:rPr>
        <w:t xml:space="preserve">meeting, RAN2 made some progress </w:t>
      </w:r>
      <w:r w:rsidR="00E55477" w:rsidRPr="00B8169A">
        <w:rPr>
          <w:rFonts w:eastAsiaTheme="minorEastAsia" w:hint="eastAsia"/>
          <w:lang w:val="en-US" w:eastAsia="ko-KR"/>
        </w:rPr>
        <w:t>with</w:t>
      </w:r>
      <w:r w:rsidR="00E55477" w:rsidRPr="00B8169A">
        <w:rPr>
          <w:rFonts w:eastAsia="Calibri"/>
          <w:lang w:val="en-US" w:eastAsia="zh-CN"/>
        </w:rPr>
        <w:t xml:space="preserve"> </w:t>
      </w:r>
      <w:r w:rsidRPr="00B8169A">
        <w:rPr>
          <w:rFonts w:eastAsia="Calibri"/>
          <w:lang w:val="en-US" w:eastAsia="zh-CN"/>
        </w:rPr>
        <w:t>the following statements:</w:t>
      </w:r>
    </w:p>
    <w:p w14:paraId="23A6516F" w14:textId="77777777" w:rsidR="0046066C" w:rsidRPr="0046066C" w:rsidRDefault="0046066C" w:rsidP="0046066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46066C">
        <w:rPr>
          <w:rFonts w:ascii="Arial" w:eastAsia="Times New Roman" w:hAnsi="Arial"/>
          <w:lang w:eastAsia="ja-JP"/>
        </w:rPr>
        <w:t>Agreements:</w:t>
      </w:r>
    </w:p>
    <w:p w14:paraId="3E8ECCB1" w14:textId="72633E9A" w:rsidR="0046066C" w:rsidRPr="00916D66" w:rsidRDefault="0046066C" w:rsidP="0046066C">
      <w:pPr>
        <w:pStyle w:val="afa"/>
        <w:numPr>
          <w:ilvl w:val="0"/>
          <w:numId w:val="25"/>
        </w:numPr>
        <w:pBdr>
          <w:top w:val="single" w:sz="4" w:space="1" w:color="auto"/>
          <w:left w:val="single" w:sz="4" w:space="4" w:color="auto"/>
          <w:bottom w:val="single" w:sz="4" w:space="1" w:color="auto"/>
          <w:right w:val="single" w:sz="4" w:space="4" w:color="auto"/>
        </w:pBdr>
        <w:tabs>
          <w:tab w:val="left" w:pos="1622"/>
        </w:tabs>
        <w:overflowPunct w:val="0"/>
        <w:adjustRightInd w:val="0"/>
        <w:ind w:leftChars="0"/>
        <w:textAlignment w:val="baseline"/>
        <w:rPr>
          <w:rFonts w:ascii="Arial" w:eastAsiaTheme="minorEastAsia" w:hAnsi="Arial"/>
        </w:rPr>
      </w:pPr>
      <w:r w:rsidRPr="00916D66">
        <w:rPr>
          <w:rFonts w:ascii="Arial" w:eastAsia="Times New Roman" w:hAnsi="Arial"/>
          <w:lang w:eastAsia="ja-JP"/>
        </w:rPr>
        <w:lastRenderedPageBreak/>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7EB9D592" w14:textId="0D07E38C" w:rsidR="0046066C" w:rsidRPr="00916D66" w:rsidRDefault="0046066C" w:rsidP="0046066C">
      <w:pPr>
        <w:pStyle w:val="Doc-text2"/>
        <w:numPr>
          <w:ilvl w:val="0"/>
          <w:numId w:val="25"/>
        </w:numPr>
        <w:pBdr>
          <w:top w:val="single" w:sz="4" w:space="1" w:color="auto"/>
          <w:left w:val="single" w:sz="4" w:space="4" w:color="auto"/>
          <w:bottom w:val="single" w:sz="4" w:space="1" w:color="auto"/>
          <w:right w:val="single" w:sz="4" w:space="4" w:color="auto"/>
        </w:pBdr>
      </w:pPr>
      <w:r w:rsidRPr="00916D66">
        <w:t>As part of the work on DL-CE, RAN2 investigates related UE power consumption impact (including legacy UEs)</w:t>
      </w:r>
    </w:p>
    <w:p w14:paraId="3A4336EE" w14:textId="02B12809" w:rsidR="0046066C" w:rsidRPr="00916D66" w:rsidRDefault="0046066C" w:rsidP="0046066C">
      <w:pPr>
        <w:pStyle w:val="Doc-text2"/>
        <w:numPr>
          <w:ilvl w:val="0"/>
          <w:numId w:val="25"/>
        </w:numPr>
        <w:pBdr>
          <w:top w:val="single" w:sz="4" w:space="1" w:color="auto"/>
          <w:left w:val="single" w:sz="4" w:space="4" w:color="auto"/>
          <w:bottom w:val="single" w:sz="4" w:space="1" w:color="auto"/>
          <w:right w:val="single" w:sz="4" w:space="4" w:color="auto"/>
        </w:pBdr>
      </w:pPr>
      <w:r w:rsidRPr="00916D66">
        <w:t>RAN2 will consider whether to introduce separate signalling (e.g. new SMTC5 list) for DL CE cells SMTCs, e.g. if different periodicities need to be signalled or to prevent reselection to specific cells</w:t>
      </w:r>
    </w:p>
    <w:p w14:paraId="64B66A3C" w14:textId="41E020B0" w:rsidR="0046066C" w:rsidRPr="00916D66" w:rsidRDefault="0046066C" w:rsidP="00916D66">
      <w:pPr>
        <w:pStyle w:val="Doc-text2"/>
        <w:numPr>
          <w:ilvl w:val="0"/>
          <w:numId w:val="25"/>
        </w:numPr>
        <w:pBdr>
          <w:top w:val="single" w:sz="4" w:space="1" w:color="auto"/>
          <w:left w:val="single" w:sz="4" w:space="4" w:color="auto"/>
          <w:bottom w:val="single" w:sz="4" w:space="1" w:color="auto"/>
          <w:right w:val="single" w:sz="4" w:space="4" w:color="auto"/>
        </w:pBdr>
        <w:rPr>
          <w:rFonts w:eastAsiaTheme="minorEastAsia"/>
          <w:bCs/>
          <w:lang w:val="en-US"/>
        </w:rPr>
      </w:pPr>
      <w:r w:rsidRPr="00916D66">
        <w:t>For cell level DTX for NTN DL coverage enhancement, RAN2 currently understands that there will be only two states: "cell DTX On period" and "Cell DTX Off period" (FFS if the UE behaviour will be different from the NES states or the same). FFS on Cell DRX states</w:t>
      </w:r>
    </w:p>
    <w:p w14:paraId="29CA532F" w14:textId="515FD68B" w:rsidR="00113169" w:rsidRPr="00B8169A" w:rsidRDefault="000E0852" w:rsidP="000A5EC9">
      <w:pPr>
        <w:spacing w:before="180"/>
        <w:ind w:firstLine="284"/>
        <w:jc w:val="both"/>
        <w:rPr>
          <w:bCs/>
          <w:lang w:eastAsia="ko-KR"/>
        </w:rPr>
      </w:pPr>
      <w:r w:rsidRPr="00B8169A">
        <w:rPr>
          <w:bCs/>
          <w:lang w:eastAsia="ko-KR"/>
        </w:rPr>
        <w:t xml:space="preserve">In this contribution, </w:t>
      </w:r>
      <w:r w:rsidRPr="00B8169A">
        <w:rPr>
          <w:rFonts w:hint="eastAsia"/>
          <w:bCs/>
          <w:lang w:eastAsia="ko-KR"/>
        </w:rPr>
        <w:t xml:space="preserve">we </w:t>
      </w:r>
      <w:r w:rsidR="00275EF4" w:rsidRPr="00B8169A">
        <w:rPr>
          <w:rFonts w:hint="eastAsia"/>
          <w:bCs/>
          <w:lang w:eastAsia="ko-KR"/>
        </w:rPr>
        <w:t xml:space="preserve">provide our views </w:t>
      </w:r>
      <w:r w:rsidR="00275EF4" w:rsidRPr="00B8169A">
        <w:rPr>
          <w:bCs/>
          <w:lang w:eastAsia="ko-KR"/>
        </w:rPr>
        <w:t>on DL</w:t>
      </w:r>
      <w:r w:rsidRPr="00B8169A">
        <w:rPr>
          <w:rFonts w:hint="eastAsia"/>
          <w:bCs/>
          <w:lang w:eastAsia="ko-KR"/>
        </w:rPr>
        <w:t xml:space="preserve"> coverage </w:t>
      </w:r>
      <w:r w:rsidRPr="00B8169A">
        <w:rPr>
          <w:bCs/>
          <w:lang w:eastAsia="ko-KR"/>
        </w:rPr>
        <w:t>enhancements</w:t>
      </w:r>
      <w:r w:rsidRPr="00B8169A">
        <w:rPr>
          <w:rFonts w:hint="eastAsia"/>
          <w:bCs/>
          <w:lang w:eastAsia="ko-KR"/>
        </w:rPr>
        <w:t>.</w:t>
      </w:r>
    </w:p>
    <w:p w14:paraId="5553429B" w14:textId="5DD84AC5" w:rsidR="0094444B" w:rsidRPr="00AF1EA4" w:rsidRDefault="00B02523" w:rsidP="00AF1EA4">
      <w:pPr>
        <w:pStyle w:val="1"/>
        <w:spacing w:line="300" w:lineRule="atLeast"/>
        <w:rPr>
          <w:lang w:val="en-US" w:eastAsia="ko-KR"/>
        </w:rPr>
      </w:pPr>
      <w:r w:rsidRPr="00B8169A">
        <w:rPr>
          <w:rFonts w:hint="eastAsia"/>
          <w:lang w:val="en-US" w:eastAsia="ko-KR"/>
        </w:rPr>
        <w:t>2</w:t>
      </w:r>
      <w:r w:rsidRPr="00B8169A">
        <w:rPr>
          <w:lang w:val="en-US"/>
        </w:rPr>
        <w:t xml:space="preserve">. </w:t>
      </w:r>
      <w:r w:rsidRPr="00B8169A">
        <w:rPr>
          <w:rFonts w:hint="eastAsia"/>
          <w:lang w:val="en-US" w:eastAsia="ko-KR"/>
        </w:rPr>
        <w:t>Discussion</w:t>
      </w:r>
    </w:p>
    <w:p w14:paraId="3D3BA5FF" w14:textId="55D3C432" w:rsidR="00151417" w:rsidRDefault="00151417" w:rsidP="007F0C72">
      <w:pPr>
        <w:pStyle w:val="1PropObs"/>
        <w:ind w:firstLineChars="0"/>
        <w:rPr>
          <w:rFonts w:eastAsiaTheme="minorEastAsia"/>
          <w:b w:val="0"/>
          <w:u w:val="single"/>
        </w:rPr>
      </w:pPr>
      <w:bookmarkStart w:id="0" w:name="_Hlk189223064"/>
      <w:r w:rsidRPr="00B8169A">
        <w:rPr>
          <w:rFonts w:eastAsiaTheme="minorEastAsia"/>
          <w:b w:val="0"/>
          <w:u w:val="single"/>
        </w:rPr>
        <w:t xml:space="preserve">SMTC impacts due to </w:t>
      </w:r>
      <w:r w:rsidR="00AF1EA4">
        <w:rPr>
          <w:rFonts w:eastAsiaTheme="minorEastAsia" w:hint="eastAsia"/>
          <w:b w:val="0"/>
          <w:u w:val="single"/>
        </w:rPr>
        <w:t xml:space="preserve">extended </w:t>
      </w:r>
      <w:r w:rsidRPr="00B8169A">
        <w:rPr>
          <w:rFonts w:eastAsiaTheme="minorEastAsia"/>
          <w:b w:val="0"/>
          <w:u w:val="single"/>
        </w:rPr>
        <w:t>SSB periodicity</w:t>
      </w:r>
    </w:p>
    <w:p w14:paraId="0B7E6C7A" w14:textId="5AD130E0" w:rsidR="00E4503B" w:rsidRDefault="00E4503B" w:rsidP="006032A0">
      <w:pPr>
        <w:spacing w:before="120"/>
        <w:ind w:firstLineChars="150" w:firstLine="300"/>
        <w:jc w:val="both"/>
        <w:rPr>
          <w:rFonts w:eastAsiaTheme="minorEastAsia"/>
          <w:lang w:val="en-US" w:eastAsia="ko-KR"/>
        </w:rPr>
      </w:pPr>
      <w:r w:rsidRPr="00E4503B">
        <w:rPr>
          <w:rFonts w:eastAsiaTheme="minorEastAsia"/>
          <w:lang w:val="en-US" w:eastAsia="ko-KR"/>
        </w:rPr>
        <w:t xml:space="preserve">In the RAN2#128, there was discussion on SMTC impacts due to the extended SSB periodicity for the DL-CE cell. Especially, introducing a new SMTC list for the DL-CE cell was </w:t>
      </w:r>
      <w:r w:rsidR="004518C5">
        <w:rPr>
          <w:rFonts w:eastAsiaTheme="minorEastAsia" w:hint="eastAsia"/>
          <w:lang w:val="en-US" w:eastAsia="ko-KR"/>
        </w:rPr>
        <w:t>discussed</w:t>
      </w:r>
      <w:r w:rsidRPr="00E4503B">
        <w:rPr>
          <w:rFonts w:eastAsiaTheme="minorEastAsia"/>
          <w:lang w:val="en-US" w:eastAsia="ko-KR"/>
        </w:rPr>
        <w:t xml:space="preserve"> as below.</w:t>
      </w:r>
    </w:p>
    <w:p w14:paraId="0492180E" w14:textId="77777777" w:rsidR="005C79C5" w:rsidRPr="0046066C" w:rsidRDefault="005C79C5" w:rsidP="00E4503B">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46066C">
        <w:rPr>
          <w:rFonts w:ascii="Arial" w:eastAsia="Times New Roman" w:hAnsi="Arial"/>
          <w:lang w:eastAsia="ja-JP"/>
        </w:rPr>
        <w:t>Agreements:</w:t>
      </w:r>
    </w:p>
    <w:p w14:paraId="6C5F7A6B" w14:textId="7387E579" w:rsidR="00E4503B" w:rsidRPr="00E4503B" w:rsidRDefault="005C79C5" w:rsidP="00E4503B">
      <w:pPr>
        <w:pStyle w:val="Doc-text2"/>
        <w:numPr>
          <w:ilvl w:val="0"/>
          <w:numId w:val="31"/>
        </w:numPr>
        <w:pBdr>
          <w:top w:val="single" w:sz="4" w:space="1" w:color="auto"/>
          <w:left w:val="single" w:sz="4" w:space="31" w:color="auto"/>
          <w:bottom w:val="single" w:sz="4" w:space="1" w:color="auto"/>
          <w:right w:val="single" w:sz="4" w:space="4" w:color="auto"/>
        </w:pBdr>
      </w:pPr>
      <w:r w:rsidRPr="00412630">
        <w:t xml:space="preserve">RAN2 </w:t>
      </w:r>
      <w:r>
        <w:t>will consider</w:t>
      </w:r>
      <w:r w:rsidRPr="00412630">
        <w:t xml:space="preserve"> </w:t>
      </w:r>
      <w:r>
        <w:t>whether to introduce separate signalling (e.g. new SMT</w:t>
      </w:r>
      <w:r w:rsidRPr="00412630">
        <w:t>C5 list)</w:t>
      </w:r>
      <w:r>
        <w:t xml:space="preserve"> for </w:t>
      </w:r>
      <w:r w:rsidRPr="00412630">
        <w:t>DL CE ce</w:t>
      </w:r>
      <w:r>
        <w:t>lls SMTCs, e.g. if different periodicities need to be signalled or to prevent reselection to specific cells</w:t>
      </w:r>
    </w:p>
    <w:p w14:paraId="004E5C41" w14:textId="731636EB" w:rsidR="00E4503B" w:rsidRDefault="00E4503B" w:rsidP="00E4503B">
      <w:pPr>
        <w:spacing w:before="120"/>
        <w:ind w:firstLineChars="150" w:firstLine="300"/>
        <w:jc w:val="both"/>
        <w:rPr>
          <w:rFonts w:eastAsiaTheme="minorEastAsia"/>
          <w:lang w:val="en-US" w:eastAsia="ko-KR"/>
        </w:rPr>
      </w:pPr>
      <w:r w:rsidRPr="00E4503B">
        <w:rPr>
          <w:rFonts w:eastAsiaTheme="minorEastAsia"/>
          <w:lang w:val="en-US" w:eastAsia="ko-KR"/>
        </w:rPr>
        <w:t>As the SSB periodicity</w:t>
      </w:r>
      <w:r w:rsidR="004518C5">
        <w:rPr>
          <w:rFonts w:eastAsiaTheme="minorEastAsia" w:hint="eastAsia"/>
          <w:lang w:val="en-US" w:eastAsia="ko-KR"/>
        </w:rPr>
        <w:t xml:space="preserve"> </w:t>
      </w:r>
      <w:r w:rsidR="004518C5" w:rsidRPr="004518C5">
        <w:rPr>
          <w:rFonts w:eastAsiaTheme="minorEastAsia"/>
          <w:lang w:val="en-US" w:eastAsia="ko-KR"/>
        </w:rPr>
        <w:t>assumed by UE during initial access</w:t>
      </w:r>
      <w:r w:rsidRPr="00E4503B">
        <w:rPr>
          <w:rFonts w:eastAsiaTheme="minorEastAsia"/>
          <w:lang w:val="en-US" w:eastAsia="ko-KR"/>
        </w:rPr>
        <w:t xml:space="preserve"> is extended for the DL-CE cell, the SSB periodicity of the DL-CE cell may be different from the SSB periodicity of the legacy non-DL-CE cell</w:t>
      </w:r>
      <w:r w:rsidR="00FA3E45">
        <w:rPr>
          <w:rFonts w:eastAsiaTheme="minorEastAsia" w:hint="eastAsia"/>
          <w:lang w:val="en-US" w:eastAsia="ko-KR"/>
        </w:rPr>
        <w:t xml:space="preserve"> [1]</w:t>
      </w:r>
      <w:r w:rsidRPr="00E4503B">
        <w:rPr>
          <w:rFonts w:eastAsiaTheme="minorEastAsia"/>
          <w:lang w:val="en-US" w:eastAsia="ko-KR"/>
        </w:rPr>
        <w:t>.</w:t>
      </w:r>
      <w:r w:rsidRPr="00E4503B">
        <w:t xml:space="preserve"> </w:t>
      </w:r>
      <w:r w:rsidRPr="00E4503B">
        <w:rPr>
          <w:rFonts w:eastAsiaTheme="minorEastAsia"/>
          <w:lang w:val="en-US" w:eastAsia="ko-KR"/>
        </w:rPr>
        <w:t>Also, if the cells are served by the different NTN payload, the separate SMTC with different offsets are required to measure the cells.</w:t>
      </w:r>
      <w:r w:rsidRPr="00E4503B">
        <w:t xml:space="preserve"> </w:t>
      </w:r>
      <w:r w:rsidRPr="00E4503B">
        <w:rPr>
          <w:rFonts w:eastAsiaTheme="minorEastAsia"/>
          <w:lang w:val="en-US" w:eastAsia="ko-KR"/>
        </w:rPr>
        <w:t>Considering the above-mentioned case, the UE may need to measure neighboring cells consisting of cells with different SSB periodicities and offsets for cell reselection.</w:t>
      </w:r>
      <w:r w:rsidRPr="00E4503B">
        <w:t xml:space="preserve"> </w:t>
      </w:r>
      <w:r w:rsidRPr="00E4503B">
        <w:rPr>
          <w:rFonts w:eastAsiaTheme="minorEastAsia"/>
          <w:lang w:val="en-US" w:eastAsia="ko-KR"/>
        </w:rPr>
        <w:t>In that case, cells with SSB periodicities and offsets that differ from those of the serving cell or other cells require their own distinct SMTCs.</w:t>
      </w:r>
      <w:r>
        <w:rPr>
          <w:rFonts w:eastAsiaTheme="minorEastAsia" w:hint="eastAsia"/>
          <w:lang w:val="en-US" w:eastAsia="ko-KR"/>
        </w:rPr>
        <w:t xml:space="preserve"> </w:t>
      </w:r>
      <w:r w:rsidRPr="00E4503B">
        <w:rPr>
          <w:rFonts w:eastAsiaTheme="minorEastAsia"/>
          <w:lang w:val="en-US" w:eastAsia="ko-KR"/>
        </w:rPr>
        <w:t xml:space="preserve">However, the current SMTC list for the NTN cell measurement, i.e., SMTC4list, does not support having different SMTC periodicity from the SMTC1. </w:t>
      </w:r>
    </w:p>
    <w:p w14:paraId="0017F5E0" w14:textId="6460D969" w:rsidR="00721C49" w:rsidRDefault="00721C49" w:rsidP="00721C49">
      <w:pPr>
        <w:pStyle w:val="1PropObs"/>
        <w:ind w:firstLineChars="0"/>
      </w:pPr>
      <w:r w:rsidRPr="00B8169A">
        <w:rPr>
          <w:rFonts w:hint="eastAsia"/>
        </w:rPr>
        <w:t xml:space="preserve">Observation </w:t>
      </w:r>
      <w:r>
        <w:rPr>
          <w:rFonts w:hint="eastAsia"/>
        </w:rPr>
        <w:t>1</w:t>
      </w:r>
      <w:r w:rsidRPr="00B8169A">
        <w:tab/>
      </w:r>
      <w:r w:rsidRPr="00721C49">
        <w:t>There may exist neighbor cells with different SSB periodicities and offsets from other neighbor cells or a serving cell.</w:t>
      </w:r>
    </w:p>
    <w:p w14:paraId="34865674" w14:textId="548EE703" w:rsidR="00721C49" w:rsidRPr="00B8169A" w:rsidRDefault="00721C49" w:rsidP="00721C49">
      <w:pPr>
        <w:pStyle w:val="1PropObs"/>
        <w:ind w:firstLineChars="0"/>
      </w:pPr>
      <w:r w:rsidRPr="00721C49">
        <w:t>Observation 2</w:t>
      </w:r>
      <w:r w:rsidRPr="00721C49">
        <w:tab/>
        <w:t>The SMTC4list, configured for the NTN cell, cannot support different SMTC periodicity from the SMTC1.</w:t>
      </w:r>
    </w:p>
    <w:p w14:paraId="4790E451" w14:textId="4EDCFD1B" w:rsidR="000263D1" w:rsidRDefault="00E4503B" w:rsidP="00FA3E45">
      <w:pPr>
        <w:spacing w:before="120"/>
        <w:ind w:firstLineChars="150" w:firstLine="300"/>
        <w:jc w:val="both"/>
        <w:rPr>
          <w:rFonts w:eastAsiaTheme="minorEastAsia"/>
          <w:lang w:val="en-US" w:eastAsia="ko-KR"/>
        </w:rPr>
      </w:pPr>
      <w:r w:rsidRPr="00E4503B">
        <w:rPr>
          <w:rFonts w:eastAsiaTheme="minorEastAsia"/>
          <w:lang w:val="en-US" w:eastAsia="ko-KR"/>
        </w:rPr>
        <w:t xml:space="preserve">If the SMTC cannot be configured </w:t>
      </w:r>
      <w:r w:rsidR="000263D1" w:rsidRPr="000263D1">
        <w:rPr>
          <w:rFonts w:eastAsiaTheme="minorEastAsia"/>
          <w:lang w:val="en-US" w:eastAsia="ko-KR"/>
        </w:rPr>
        <w:t>with a different</w:t>
      </w:r>
      <w:r w:rsidR="000263D1">
        <w:rPr>
          <w:rFonts w:eastAsiaTheme="minorEastAsia" w:hint="eastAsia"/>
          <w:lang w:val="en-US" w:eastAsia="ko-KR"/>
        </w:rPr>
        <w:t xml:space="preserve"> </w:t>
      </w:r>
      <w:r w:rsidRPr="00E4503B">
        <w:rPr>
          <w:rFonts w:eastAsiaTheme="minorEastAsia"/>
          <w:lang w:val="en-US" w:eastAsia="ko-KR"/>
        </w:rPr>
        <w:t xml:space="preserve">periodicity from the SMTC1, some of the cell's SMTCs are not associated with its own SSB periodicity but instead are linked to the SSB periodicity or SMTC periodicity of other cells. In that case, the UE may perform measurements, even when the cell is not transmitting SSB. Conversely, the UE may not perform measurements, even when the cell </w:t>
      </w:r>
      <w:r w:rsidR="004518C5">
        <w:rPr>
          <w:rFonts w:eastAsiaTheme="minorEastAsia" w:hint="eastAsia"/>
          <w:lang w:val="en-US" w:eastAsia="ko-KR"/>
        </w:rPr>
        <w:t>is</w:t>
      </w:r>
      <w:r w:rsidRPr="00E4503B">
        <w:rPr>
          <w:rFonts w:eastAsiaTheme="minorEastAsia"/>
          <w:lang w:val="en-US" w:eastAsia="ko-KR"/>
        </w:rPr>
        <w:t xml:space="preserve"> transmit</w:t>
      </w:r>
      <w:r w:rsidR="004518C5">
        <w:rPr>
          <w:rFonts w:eastAsiaTheme="minorEastAsia" w:hint="eastAsia"/>
          <w:lang w:val="en-US" w:eastAsia="ko-KR"/>
        </w:rPr>
        <w:t>ting</w:t>
      </w:r>
      <w:r w:rsidRPr="00E4503B">
        <w:rPr>
          <w:rFonts w:eastAsiaTheme="minorEastAsia"/>
          <w:lang w:val="en-US" w:eastAsia="ko-KR"/>
        </w:rPr>
        <w:t xml:space="preserve"> SSB</w:t>
      </w:r>
      <w:r w:rsidR="00FA3E45">
        <w:rPr>
          <w:rFonts w:eastAsiaTheme="minorEastAsia" w:hint="eastAsia"/>
          <w:lang w:val="en-US" w:eastAsia="ko-KR"/>
        </w:rPr>
        <w:t xml:space="preserve">. </w:t>
      </w:r>
      <w:r w:rsidRPr="00E4503B">
        <w:rPr>
          <w:rFonts w:eastAsiaTheme="minorEastAsia"/>
          <w:lang w:val="en-US" w:eastAsia="ko-KR"/>
        </w:rPr>
        <w:t xml:space="preserve">Therefore, the SMTC configuration that does not consider the cell's SSB transmission periodicity could </w:t>
      </w:r>
      <w:r w:rsidR="004518C5">
        <w:rPr>
          <w:rFonts w:eastAsiaTheme="minorEastAsia" w:hint="eastAsia"/>
          <w:lang w:val="en-US" w:eastAsia="ko-KR"/>
        </w:rPr>
        <w:t>result in</w:t>
      </w:r>
      <w:r w:rsidRPr="00E4503B">
        <w:rPr>
          <w:rFonts w:eastAsiaTheme="minorEastAsia"/>
          <w:lang w:val="en-US" w:eastAsia="ko-KR"/>
        </w:rPr>
        <w:t xml:space="preserve"> unnecessary UE power consumption or delays in the cell reselection procedure due to </w:t>
      </w:r>
      <w:r w:rsidR="004518C5">
        <w:rPr>
          <w:rFonts w:eastAsiaTheme="minorEastAsia" w:hint="eastAsia"/>
          <w:lang w:val="en-US" w:eastAsia="ko-KR"/>
        </w:rPr>
        <w:t xml:space="preserve">the </w:t>
      </w:r>
      <w:r w:rsidRPr="00E4503B">
        <w:rPr>
          <w:rFonts w:eastAsiaTheme="minorEastAsia"/>
          <w:lang w:val="en-US" w:eastAsia="ko-KR"/>
        </w:rPr>
        <w:t xml:space="preserve">longer SS-RSRP measurement. </w:t>
      </w:r>
    </w:p>
    <w:p w14:paraId="01B25C1C" w14:textId="1363659A" w:rsidR="00E4595B" w:rsidRPr="00D32161" w:rsidRDefault="00FA3E45" w:rsidP="00D32161">
      <w:pPr>
        <w:spacing w:before="120"/>
        <w:ind w:firstLineChars="150" w:firstLine="300"/>
        <w:jc w:val="both"/>
        <w:rPr>
          <w:rFonts w:eastAsiaTheme="minorEastAsia"/>
          <w:lang w:eastAsia="ko-KR"/>
        </w:rPr>
      </w:pPr>
      <w:r>
        <w:rPr>
          <w:rFonts w:eastAsiaTheme="minorEastAsia" w:hint="eastAsia"/>
          <w:lang w:val="en-US" w:eastAsia="ko-KR"/>
        </w:rPr>
        <w:t>I</w:t>
      </w:r>
      <w:r w:rsidR="00E4503B" w:rsidRPr="00E4503B">
        <w:rPr>
          <w:rFonts w:eastAsiaTheme="minorEastAsia"/>
          <w:lang w:val="en-US" w:eastAsia="ko-KR"/>
        </w:rPr>
        <w:t>n addition, the</w:t>
      </w:r>
      <w:r w:rsidR="000263D1">
        <w:rPr>
          <w:rFonts w:eastAsiaTheme="minorEastAsia" w:hint="eastAsia"/>
          <w:lang w:val="en-US" w:eastAsia="ko-KR"/>
        </w:rPr>
        <w:t xml:space="preserve"> </w:t>
      </w:r>
      <w:r w:rsidR="000263D1">
        <w:rPr>
          <w:rFonts w:eastAsiaTheme="minorEastAsia"/>
          <w:lang w:val="en-US" w:eastAsia="ko-KR"/>
        </w:rPr>
        <w:t>above-mentioned</w:t>
      </w:r>
      <w:r w:rsidR="000263D1">
        <w:rPr>
          <w:rFonts w:eastAsiaTheme="minorEastAsia" w:hint="eastAsia"/>
          <w:lang w:val="en-US" w:eastAsia="ko-KR"/>
        </w:rPr>
        <w:t xml:space="preserve"> scenario</w:t>
      </w:r>
      <w:r w:rsidR="00E4503B" w:rsidRPr="00E4503B">
        <w:rPr>
          <w:rFonts w:eastAsiaTheme="minorEastAsia"/>
          <w:lang w:val="en-US" w:eastAsia="ko-KR"/>
        </w:rPr>
        <w:t xml:space="preserve"> is not limited to DL-CE cells having different SSB periodicities from non-DL-CE cells. </w:t>
      </w:r>
      <w:r w:rsidR="004518C5">
        <w:rPr>
          <w:rFonts w:eastAsiaTheme="minorEastAsia" w:hint="eastAsia"/>
          <w:lang w:val="en-US" w:eastAsia="ko-KR"/>
        </w:rPr>
        <w:t xml:space="preserve">The </w:t>
      </w:r>
      <w:r w:rsidR="00E4503B" w:rsidRPr="00E4503B">
        <w:rPr>
          <w:rFonts w:eastAsiaTheme="minorEastAsia"/>
          <w:lang w:val="en-US" w:eastAsia="ko-KR"/>
        </w:rPr>
        <w:t>DL-CE cells may also have different SSB periodicities from each other, depending on the cell's traffic or the power capacity of the NTN payload.</w:t>
      </w:r>
      <w:r>
        <w:rPr>
          <w:rFonts w:eastAsiaTheme="minorEastAsia" w:hint="eastAsia"/>
          <w:lang w:val="en-US" w:eastAsia="ko-KR"/>
        </w:rPr>
        <w:t xml:space="preserve"> </w:t>
      </w:r>
      <w:r w:rsidR="00BD6547" w:rsidRPr="00BD6547">
        <w:rPr>
          <w:rFonts w:eastAsiaTheme="minorEastAsia"/>
        </w:rPr>
        <w:t>Therefore, a new SMTC</w:t>
      </w:r>
      <w:r w:rsidR="00721C49">
        <w:rPr>
          <w:rFonts w:eastAsiaTheme="minorEastAsia" w:hint="eastAsia"/>
          <w:lang w:eastAsia="ko-KR"/>
        </w:rPr>
        <w:t xml:space="preserve"> </w:t>
      </w:r>
      <w:r w:rsidR="00BD6547" w:rsidRPr="00BD6547">
        <w:rPr>
          <w:rFonts w:eastAsiaTheme="minorEastAsia"/>
        </w:rPr>
        <w:t>list should be introduced to configure separate periodicity and offset from the SMTC1.</w:t>
      </w:r>
    </w:p>
    <w:p w14:paraId="41620E68" w14:textId="3481D94D" w:rsidR="00721C49" w:rsidRPr="00B8169A" w:rsidRDefault="00721C49" w:rsidP="00721C49">
      <w:pPr>
        <w:pStyle w:val="1PropObs"/>
        <w:ind w:firstLineChars="0"/>
      </w:pPr>
      <w:r w:rsidRPr="00B8169A">
        <w:rPr>
          <w:rFonts w:hint="eastAsia"/>
        </w:rPr>
        <w:t xml:space="preserve">Observation </w:t>
      </w:r>
      <w:r>
        <w:rPr>
          <w:rFonts w:hint="eastAsia"/>
        </w:rPr>
        <w:t>3</w:t>
      </w:r>
      <w:r w:rsidRPr="00B8169A">
        <w:tab/>
      </w:r>
      <w:r w:rsidRPr="00721C49">
        <w:t>The SMTC configuration that does not consider the cell's SSB transmission periodicity may increase the UE power consumption or the latency of the cell reselection procedure.</w:t>
      </w:r>
    </w:p>
    <w:p w14:paraId="0E7E6FB0" w14:textId="3AEC7276" w:rsidR="00721C49" w:rsidRDefault="00721C49" w:rsidP="00D32161">
      <w:pPr>
        <w:pStyle w:val="1PropObs"/>
        <w:ind w:firstLineChars="0"/>
      </w:pPr>
      <w:r w:rsidRPr="00B8169A">
        <w:t xml:space="preserve">Proposal </w:t>
      </w:r>
      <w:r>
        <w:rPr>
          <w:rFonts w:hint="eastAsia"/>
        </w:rPr>
        <w:t>1</w:t>
      </w:r>
      <w:r w:rsidRPr="00B8169A">
        <w:tab/>
      </w:r>
      <w:r w:rsidRPr="00721C49">
        <w:t>RAN2 should introduce a new SMTC</w:t>
      </w:r>
      <w:r>
        <w:rPr>
          <w:rFonts w:hint="eastAsia"/>
        </w:rPr>
        <w:t xml:space="preserve"> </w:t>
      </w:r>
      <w:r w:rsidRPr="00721C49">
        <w:t xml:space="preserve">list, which can have different periodicity and offset from </w:t>
      </w:r>
      <w:proofErr w:type="gramStart"/>
      <w:r w:rsidR="00D32161">
        <w:rPr>
          <w:rFonts w:hint="eastAsia"/>
        </w:rPr>
        <w:t xml:space="preserve">the </w:t>
      </w:r>
      <w:r w:rsidR="00D32161" w:rsidRPr="00721C49">
        <w:t>SMTC1</w:t>
      </w:r>
      <w:proofErr w:type="gramEnd"/>
      <w:r w:rsidRPr="00721C49">
        <w:t>.</w:t>
      </w:r>
    </w:p>
    <w:p w14:paraId="2E7EC8C0" w14:textId="77777777" w:rsidR="00D32161" w:rsidRDefault="00D32161" w:rsidP="00D32161">
      <w:pPr>
        <w:pStyle w:val="1PropObs"/>
        <w:ind w:firstLineChars="0"/>
      </w:pPr>
    </w:p>
    <w:p w14:paraId="663D1F85" w14:textId="77777777" w:rsidR="00D32161" w:rsidRPr="00B8169A" w:rsidRDefault="00D32161" w:rsidP="00D32161">
      <w:pPr>
        <w:pStyle w:val="1PropObs"/>
        <w:ind w:firstLineChars="0"/>
      </w:pPr>
    </w:p>
    <w:bookmarkEnd w:id="0"/>
    <w:p w14:paraId="534BE80F" w14:textId="5F67C31F" w:rsidR="00EE66D8" w:rsidRPr="00916D66" w:rsidRDefault="00EE66D8" w:rsidP="00FA3E45">
      <w:pPr>
        <w:spacing w:before="120"/>
        <w:jc w:val="both"/>
        <w:rPr>
          <w:rFonts w:eastAsiaTheme="minorEastAsia"/>
          <w:u w:val="single"/>
          <w:lang w:eastAsia="ko-KR"/>
        </w:rPr>
      </w:pPr>
      <w:r w:rsidRPr="00916D66">
        <w:rPr>
          <w:rFonts w:eastAsiaTheme="minorEastAsia"/>
          <w:u w:val="single"/>
          <w:lang w:eastAsia="ko-KR"/>
        </w:rPr>
        <w:lastRenderedPageBreak/>
        <w:t>R</w:t>
      </w:r>
      <w:r w:rsidRPr="00916D66">
        <w:rPr>
          <w:rFonts w:eastAsiaTheme="minorEastAsia" w:hint="eastAsia"/>
          <w:u w:val="single"/>
          <w:lang w:eastAsia="ko-KR"/>
        </w:rPr>
        <w:t xml:space="preserve">elated UE power </w:t>
      </w:r>
      <w:r w:rsidRPr="00916D66">
        <w:rPr>
          <w:rFonts w:eastAsiaTheme="minorEastAsia"/>
          <w:u w:val="single"/>
          <w:lang w:eastAsia="ko-KR"/>
        </w:rPr>
        <w:t>consumption</w:t>
      </w:r>
      <w:r w:rsidRPr="00916D66">
        <w:rPr>
          <w:rFonts w:eastAsiaTheme="minorEastAsia" w:hint="eastAsia"/>
          <w:u w:val="single"/>
          <w:lang w:eastAsia="ko-KR"/>
        </w:rPr>
        <w:t xml:space="preserve"> </w:t>
      </w:r>
      <w:r w:rsidR="007977F4">
        <w:rPr>
          <w:rFonts w:eastAsiaTheme="minorEastAsia" w:hint="eastAsia"/>
          <w:u w:val="single"/>
          <w:lang w:eastAsia="ko-KR"/>
        </w:rPr>
        <w:t>i</w:t>
      </w:r>
      <w:r w:rsidRPr="00916D66">
        <w:rPr>
          <w:rFonts w:eastAsiaTheme="minorEastAsia" w:hint="eastAsia"/>
          <w:u w:val="single"/>
          <w:lang w:eastAsia="ko-KR"/>
        </w:rPr>
        <w:t>ssue</w:t>
      </w:r>
    </w:p>
    <w:p w14:paraId="1B10619E" w14:textId="6B152F97" w:rsidR="00FE2E58" w:rsidRDefault="00FE2E58" w:rsidP="00FE2E58">
      <w:pPr>
        <w:spacing w:before="120"/>
        <w:ind w:firstLineChars="150" w:firstLine="300"/>
        <w:jc w:val="both"/>
        <w:rPr>
          <w:rFonts w:eastAsiaTheme="minorEastAsia"/>
          <w:lang w:val="en-US" w:eastAsia="ko-KR"/>
        </w:rPr>
      </w:pPr>
      <w:r w:rsidRPr="00FE2E58">
        <w:rPr>
          <w:rFonts w:eastAsiaTheme="minorEastAsia"/>
          <w:lang w:val="en-US" w:eastAsia="ko-KR"/>
        </w:rPr>
        <w:t>In the RAN2#128 meeting, the issue of UE power consumption, caused by the SMTC impact from the extended SSB periodicity, was raised.</w:t>
      </w:r>
      <w:r>
        <w:rPr>
          <w:rFonts w:eastAsiaTheme="minorEastAsia" w:hint="eastAsia"/>
          <w:lang w:val="en-US" w:eastAsia="ko-KR"/>
        </w:rPr>
        <w:t xml:space="preserve"> </w:t>
      </w:r>
      <w:r w:rsidRPr="00FE2E58">
        <w:rPr>
          <w:rFonts w:eastAsiaTheme="minorEastAsia"/>
          <w:lang w:val="en-US" w:eastAsia="ko-KR"/>
        </w:rPr>
        <w:t>Based on the SMTC discussions in previous meetings,</w:t>
      </w:r>
      <w:r>
        <w:rPr>
          <w:rFonts w:eastAsiaTheme="minorEastAsia" w:hint="eastAsia"/>
          <w:lang w:val="en-US" w:eastAsia="ko-KR"/>
        </w:rPr>
        <w:t xml:space="preserve"> </w:t>
      </w:r>
      <w:r w:rsidRPr="00FE2E58">
        <w:rPr>
          <w:rFonts w:eastAsiaTheme="minorEastAsia"/>
          <w:lang w:val="en-US" w:eastAsia="ko-KR"/>
        </w:rPr>
        <w:t>we understand that the UE power consumption issue is related to the number of SMTCs configured by the network.</w:t>
      </w:r>
      <w:r>
        <w:rPr>
          <w:rFonts w:eastAsiaTheme="minorEastAsia" w:hint="eastAsia"/>
          <w:lang w:val="en-US" w:eastAsia="ko-KR"/>
        </w:rPr>
        <w:t xml:space="preserve"> </w:t>
      </w:r>
      <w:r w:rsidRPr="00FE2E58">
        <w:rPr>
          <w:rFonts w:eastAsiaTheme="minorEastAsia"/>
          <w:lang w:val="en-US" w:eastAsia="ko-KR"/>
        </w:rPr>
        <w:t xml:space="preserve">As the number of SMTCs increases for measuring </w:t>
      </w:r>
      <w:r w:rsidR="00721C49" w:rsidRPr="00FE2E58">
        <w:rPr>
          <w:rFonts w:eastAsiaTheme="minorEastAsia"/>
          <w:lang w:val="en-US" w:eastAsia="ko-KR"/>
        </w:rPr>
        <w:t>neighbor</w:t>
      </w:r>
      <w:r w:rsidRPr="00FE2E58">
        <w:rPr>
          <w:rFonts w:eastAsiaTheme="minorEastAsia"/>
          <w:lang w:val="en-US" w:eastAsia="ko-KR"/>
        </w:rPr>
        <w:t xml:space="preserve"> cells, the UE </w:t>
      </w:r>
      <w:r w:rsidR="00546EF2">
        <w:rPr>
          <w:rFonts w:eastAsiaTheme="minorEastAsia" w:hint="eastAsia"/>
          <w:lang w:val="en-US" w:eastAsia="ko-KR"/>
        </w:rPr>
        <w:t>must</w:t>
      </w:r>
      <w:r w:rsidRPr="00FE2E58">
        <w:rPr>
          <w:rFonts w:eastAsiaTheme="minorEastAsia"/>
          <w:lang w:val="en-US" w:eastAsia="ko-KR"/>
        </w:rPr>
        <w:t xml:space="preserve"> spend more time and power </w:t>
      </w:r>
      <w:r w:rsidR="00546EF2">
        <w:rPr>
          <w:rFonts w:eastAsiaTheme="minorEastAsia" w:hint="eastAsia"/>
          <w:lang w:val="en-US" w:eastAsia="ko-KR"/>
        </w:rPr>
        <w:t>on SSB measurements</w:t>
      </w:r>
      <w:r w:rsidRPr="00FE2E58">
        <w:rPr>
          <w:rFonts w:eastAsiaTheme="minorEastAsia"/>
          <w:lang w:val="en-US" w:eastAsia="ko-KR"/>
        </w:rPr>
        <w:t xml:space="preserve"> using those SMTCs.</w:t>
      </w:r>
      <w:r>
        <w:rPr>
          <w:rFonts w:eastAsiaTheme="minorEastAsia" w:hint="eastAsia"/>
          <w:lang w:val="en-US" w:eastAsia="ko-KR"/>
        </w:rPr>
        <w:t xml:space="preserve"> </w:t>
      </w:r>
    </w:p>
    <w:p w14:paraId="18339E2A" w14:textId="6131446C" w:rsidR="00FE2E58" w:rsidRDefault="00FE2E58" w:rsidP="00FE2E58">
      <w:pPr>
        <w:spacing w:before="120"/>
        <w:ind w:firstLineChars="150" w:firstLine="300"/>
        <w:jc w:val="both"/>
      </w:pPr>
      <w:r w:rsidRPr="00FE2E58">
        <w:rPr>
          <w:rFonts w:eastAsiaTheme="minorEastAsia"/>
          <w:lang w:val="en-US" w:eastAsia="ko-KR"/>
        </w:rPr>
        <w:t>And the reason why the extended SSB periodicity increases the number of SMTCs required by the UE is as follows.</w:t>
      </w:r>
      <w:r>
        <w:rPr>
          <w:rFonts w:eastAsiaTheme="minorEastAsia" w:hint="eastAsia"/>
          <w:lang w:val="en-US" w:eastAsia="ko-KR"/>
        </w:rPr>
        <w:t xml:space="preserve"> </w:t>
      </w:r>
      <w:r w:rsidRPr="00FE2E58">
        <w:rPr>
          <w:rFonts w:eastAsiaTheme="minorEastAsia"/>
          <w:lang w:val="en-US" w:eastAsia="ko-KR"/>
        </w:rPr>
        <w:t xml:space="preserve">If the SSB periodicity is extended, and if the different SSB transmission timings are applied among cells through SSB beam-hopping transmission, UE might require different SMTCs to measure </w:t>
      </w:r>
      <w:r w:rsidR="00721C49" w:rsidRPr="00FE2E58">
        <w:rPr>
          <w:rFonts w:eastAsiaTheme="minorEastAsia"/>
          <w:lang w:val="en-US" w:eastAsia="ko-KR"/>
        </w:rPr>
        <w:t>neighbor</w:t>
      </w:r>
      <w:r w:rsidRPr="00FE2E58">
        <w:rPr>
          <w:rFonts w:eastAsiaTheme="minorEastAsia"/>
          <w:lang w:val="en-US" w:eastAsia="ko-KR"/>
        </w:rPr>
        <w:t xml:space="preserve"> cells.  For example, the number of SMTCs to measure the adjacent </w:t>
      </w:r>
      <w:r w:rsidR="00721C49" w:rsidRPr="00FE2E58">
        <w:rPr>
          <w:rFonts w:eastAsiaTheme="minorEastAsia"/>
          <w:lang w:val="en-US" w:eastAsia="ko-KR"/>
        </w:rPr>
        <w:t>neighbor</w:t>
      </w:r>
      <w:r w:rsidRPr="00FE2E58">
        <w:rPr>
          <w:rFonts w:eastAsiaTheme="minorEastAsia"/>
          <w:lang w:val="en-US" w:eastAsia="ko-KR"/>
        </w:rPr>
        <w:t xml:space="preserve"> cells can be six at maximum, as the number of </w:t>
      </w:r>
      <w:r w:rsidR="00721C49" w:rsidRPr="00FE2E58">
        <w:rPr>
          <w:rFonts w:eastAsiaTheme="minorEastAsia"/>
          <w:lang w:val="en-US" w:eastAsia="ko-KR"/>
        </w:rPr>
        <w:t>neighbor</w:t>
      </w:r>
      <w:r w:rsidRPr="00FE2E58">
        <w:rPr>
          <w:rFonts w:eastAsiaTheme="minorEastAsia"/>
          <w:lang w:val="en-US" w:eastAsia="ko-KR"/>
        </w:rPr>
        <w:t xml:space="preserve"> cells adjacent to a serving cell is six. As </w:t>
      </w:r>
      <w:r w:rsidR="00721C49" w:rsidRPr="00FE2E58">
        <w:rPr>
          <w:rFonts w:eastAsiaTheme="minorEastAsia"/>
          <w:lang w:val="en-US" w:eastAsia="ko-KR"/>
        </w:rPr>
        <w:t>neighbor</w:t>
      </w:r>
      <w:r w:rsidRPr="00FE2E58">
        <w:rPr>
          <w:rFonts w:eastAsiaTheme="minorEastAsia"/>
          <w:lang w:val="en-US" w:eastAsia="ko-KR"/>
        </w:rPr>
        <w:t xml:space="preserve"> cells have different SSB transmission timing offsets, the number of SMTCs</w:t>
      </w:r>
      <w:r w:rsidR="00546EF2">
        <w:rPr>
          <w:rFonts w:eastAsiaTheme="minorEastAsia" w:hint="eastAsia"/>
          <w:lang w:val="en-US" w:eastAsia="ko-KR"/>
        </w:rPr>
        <w:t xml:space="preserve"> </w:t>
      </w:r>
      <w:r w:rsidR="00546EF2" w:rsidRPr="00546EF2">
        <w:rPr>
          <w:rFonts w:eastAsiaTheme="minorEastAsia"/>
          <w:lang w:val="en-US" w:eastAsia="ko-KR"/>
        </w:rPr>
        <w:t>required</w:t>
      </w:r>
      <w:r w:rsidR="00546EF2">
        <w:rPr>
          <w:rFonts w:eastAsiaTheme="minorEastAsia" w:hint="eastAsia"/>
          <w:lang w:val="en-US" w:eastAsia="ko-KR"/>
        </w:rPr>
        <w:t xml:space="preserve"> for measurement</w:t>
      </w:r>
      <w:r w:rsidRPr="00FE2E58">
        <w:rPr>
          <w:rFonts w:eastAsiaTheme="minorEastAsia"/>
          <w:lang w:val="en-US" w:eastAsia="ko-KR"/>
        </w:rPr>
        <w:t xml:space="preserve"> increases, </w:t>
      </w:r>
      <w:r w:rsidR="00546EF2">
        <w:rPr>
          <w:rFonts w:eastAsiaTheme="minorEastAsia" w:hint="eastAsia"/>
          <w:lang w:val="en-US" w:eastAsia="ko-KR"/>
        </w:rPr>
        <w:t>resulting in</w:t>
      </w:r>
      <w:r w:rsidRPr="00FE2E58">
        <w:rPr>
          <w:rFonts w:eastAsiaTheme="minorEastAsia"/>
          <w:lang w:val="en-US" w:eastAsia="ko-KR"/>
        </w:rPr>
        <w:t xml:space="preserve"> a higher power burden on the UE, and which may not be supported with the current UE capacity.</w:t>
      </w:r>
      <w:r w:rsidRPr="00FE2E58">
        <w:t xml:space="preserve"> </w:t>
      </w:r>
    </w:p>
    <w:p w14:paraId="14F3A975" w14:textId="2E240546" w:rsidR="00721C49" w:rsidRDefault="00721C49" w:rsidP="00721C49">
      <w:pPr>
        <w:pStyle w:val="1PropObs"/>
        <w:ind w:firstLineChars="0"/>
      </w:pPr>
      <w:r w:rsidRPr="00B8169A">
        <w:rPr>
          <w:rFonts w:hint="eastAsia"/>
        </w:rPr>
        <w:t xml:space="preserve">Observation </w:t>
      </w:r>
      <w:r>
        <w:rPr>
          <w:rFonts w:hint="eastAsia"/>
        </w:rPr>
        <w:t>4</w:t>
      </w:r>
      <w:r w:rsidRPr="00B8169A">
        <w:tab/>
      </w:r>
      <w:r w:rsidRPr="00721C49">
        <w:t>As the SSB periodicity is extended, the number of SMTCs required for measurement might increase, which leads to the UE’s power burden.</w:t>
      </w:r>
    </w:p>
    <w:p w14:paraId="0EE5C488" w14:textId="1213A4D7" w:rsidR="00546EF2" w:rsidRDefault="00FE2E58" w:rsidP="00FE2E58">
      <w:pPr>
        <w:spacing w:before="120"/>
        <w:ind w:firstLineChars="150" w:firstLine="300"/>
        <w:jc w:val="both"/>
        <w:rPr>
          <w:rFonts w:eastAsiaTheme="minorEastAsia"/>
          <w:lang w:val="en-US" w:eastAsia="ko-KR"/>
        </w:rPr>
      </w:pPr>
      <w:r w:rsidRPr="00FE2E58">
        <w:rPr>
          <w:rFonts w:eastAsiaTheme="minorEastAsia"/>
          <w:lang w:val="en-US" w:eastAsia="ko-KR"/>
        </w:rPr>
        <w:t>In principle, even if the SSB periodicity is extended and the network transmits SSBs via beam hopping, multiple cells will transmit SSBs with the same SSB transmission timing.</w:t>
      </w:r>
      <w:r w:rsidR="00546EF2">
        <w:rPr>
          <w:rFonts w:eastAsiaTheme="minorEastAsia" w:hint="eastAsia"/>
          <w:lang w:val="en-US" w:eastAsia="ko-KR"/>
        </w:rPr>
        <w:t xml:space="preserve"> </w:t>
      </w:r>
      <w:r w:rsidR="00546EF2">
        <w:rPr>
          <w:rFonts w:eastAsiaTheme="minorEastAsia"/>
          <w:lang w:val="en-US" w:eastAsia="ko-KR"/>
        </w:rPr>
        <w:t>A</w:t>
      </w:r>
      <w:r w:rsidR="00546EF2">
        <w:rPr>
          <w:rFonts w:eastAsiaTheme="minorEastAsia" w:hint="eastAsia"/>
          <w:lang w:val="en-US" w:eastAsia="ko-KR"/>
        </w:rPr>
        <w:t xml:space="preserve">nd </w:t>
      </w:r>
      <w:r w:rsidRPr="00FE2E58">
        <w:rPr>
          <w:rFonts w:eastAsiaTheme="minorEastAsia"/>
          <w:lang w:val="en-US" w:eastAsia="ko-KR"/>
        </w:rPr>
        <w:t xml:space="preserve">network can group the cells adjacent to each other, ensuring that adjacent cells are placed in the same SSB beam hopping area. The cells included in the same group have </w:t>
      </w:r>
      <w:r w:rsidR="00546EF2" w:rsidRPr="00FE2E58">
        <w:rPr>
          <w:rFonts w:eastAsiaTheme="minorEastAsia"/>
          <w:lang w:val="en-US" w:eastAsia="ko-KR"/>
        </w:rPr>
        <w:t>the same</w:t>
      </w:r>
      <w:r w:rsidRPr="00FE2E58">
        <w:rPr>
          <w:rFonts w:eastAsiaTheme="minorEastAsia"/>
          <w:lang w:val="en-US" w:eastAsia="ko-KR"/>
        </w:rPr>
        <w:t xml:space="preserve"> SBB transmission timing.</w:t>
      </w:r>
      <w:r>
        <w:rPr>
          <w:rFonts w:eastAsiaTheme="minorEastAsia" w:hint="eastAsia"/>
          <w:lang w:val="en-US" w:eastAsia="ko-KR"/>
        </w:rPr>
        <w:t xml:space="preserve"> </w:t>
      </w:r>
      <w:r w:rsidR="00245E67">
        <w:rPr>
          <w:rFonts w:eastAsiaTheme="minorEastAsia" w:hint="eastAsia"/>
          <w:lang w:val="en-US" w:eastAsia="ko-KR"/>
        </w:rPr>
        <w:t xml:space="preserve">For </w:t>
      </w:r>
      <w:r w:rsidR="00245E67">
        <w:rPr>
          <w:rFonts w:eastAsiaTheme="minorEastAsia"/>
          <w:lang w:val="en-US" w:eastAsia="ko-KR"/>
        </w:rPr>
        <w:t>example</w:t>
      </w:r>
      <w:r w:rsidR="00245E67">
        <w:rPr>
          <w:rFonts w:eastAsiaTheme="minorEastAsia" w:hint="eastAsia"/>
          <w:lang w:val="en-US" w:eastAsia="ko-KR"/>
        </w:rPr>
        <w:t>, i</w:t>
      </w:r>
      <w:r w:rsidRPr="00FE2E58">
        <w:rPr>
          <w:rFonts w:eastAsiaTheme="minorEastAsia"/>
          <w:lang w:val="en-US" w:eastAsia="ko-KR"/>
        </w:rPr>
        <w:t xml:space="preserve">n </w:t>
      </w:r>
      <w:r w:rsidR="00245E67">
        <w:rPr>
          <w:rFonts w:eastAsiaTheme="minorEastAsia" w:hint="eastAsia"/>
          <w:lang w:val="en-US" w:eastAsia="ko-KR"/>
        </w:rPr>
        <w:t xml:space="preserve">the </w:t>
      </w:r>
      <w:r w:rsidRPr="00FE2E58">
        <w:rPr>
          <w:rFonts w:eastAsiaTheme="minorEastAsia"/>
          <w:lang w:val="en-US" w:eastAsia="ko-KR"/>
        </w:rPr>
        <w:t>good case, the UE only needs one SMTC to measure all neighbor cells adjacent to a serving cell. And</w:t>
      </w:r>
      <w:r w:rsidR="00245E67">
        <w:rPr>
          <w:rFonts w:eastAsiaTheme="minorEastAsia" w:hint="eastAsia"/>
          <w:lang w:val="en-US" w:eastAsia="ko-KR"/>
        </w:rPr>
        <w:t>,</w:t>
      </w:r>
      <w:r w:rsidRPr="00FE2E58">
        <w:rPr>
          <w:rFonts w:eastAsiaTheme="minorEastAsia"/>
          <w:lang w:val="en-US" w:eastAsia="ko-KR"/>
        </w:rPr>
        <w:t xml:space="preserve"> in the worst case, the UE needs 3 SMTCs to measure all </w:t>
      </w:r>
      <w:r w:rsidR="00721C49" w:rsidRPr="00FE2E58">
        <w:rPr>
          <w:rFonts w:eastAsiaTheme="minorEastAsia"/>
          <w:lang w:val="en-US" w:eastAsia="ko-KR"/>
        </w:rPr>
        <w:t>neighbo</w:t>
      </w:r>
      <w:r w:rsidR="00721C49">
        <w:rPr>
          <w:rFonts w:eastAsiaTheme="minorEastAsia"/>
          <w:lang w:val="en-US" w:eastAsia="ko-KR"/>
        </w:rPr>
        <w:t>r</w:t>
      </w:r>
      <w:r w:rsidRPr="00FE2E58">
        <w:rPr>
          <w:rFonts w:eastAsiaTheme="minorEastAsia"/>
          <w:lang w:val="en-US" w:eastAsia="ko-KR"/>
        </w:rPr>
        <w:t xml:space="preserve"> cells adjacent to a serving cell</w:t>
      </w:r>
      <w:r w:rsidR="00245E67">
        <w:rPr>
          <w:rFonts w:eastAsiaTheme="minorEastAsia" w:hint="eastAsia"/>
          <w:lang w:val="en-US" w:eastAsia="ko-KR"/>
        </w:rPr>
        <w:t xml:space="preserve"> </w:t>
      </w:r>
      <w:r w:rsidR="00245E67" w:rsidRPr="00245E67">
        <w:rPr>
          <w:rFonts w:eastAsiaTheme="minorEastAsia"/>
          <w:lang w:val="en-US" w:eastAsia="ko-KR"/>
        </w:rPr>
        <w:t>as shown in figure below</w:t>
      </w:r>
      <w:r w:rsidRPr="00FE2E58">
        <w:rPr>
          <w:rFonts w:eastAsiaTheme="minorEastAsia"/>
          <w:lang w:val="en-US" w:eastAsia="ko-KR"/>
        </w:rPr>
        <w:t xml:space="preserve">. Therefore, the network implementation can minimize the increase in SMTCs required for neighbor cell measurements </w:t>
      </w:r>
      <w:r w:rsidR="00546EF2" w:rsidRPr="00546EF2">
        <w:rPr>
          <w:rFonts w:eastAsiaTheme="minorEastAsia"/>
          <w:lang w:val="en-US" w:eastAsia="ko-KR"/>
        </w:rPr>
        <w:t>caused by</w:t>
      </w:r>
      <w:r w:rsidR="00546EF2">
        <w:rPr>
          <w:rFonts w:eastAsiaTheme="minorEastAsia" w:hint="eastAsia"/>
          <w:lang w:val="en-US" w:eastAsia="ko-KR"/>
        </w:rPr>
        <w:t xml:space="preserve"> </w:t>
      </w:r>
      <w:r w:rsidRPr="00FE2E58">
        <w:rPr>
          <w:rFonts w:eastAsiaTheme="minorEastAsia"/>
          <w:lang w:val="en-US" w:eastAsia="ko-KR"/>
        </w:rPr>
        <w:t>the extended SSB periodicity and SSB beam hopping</w:t>
      </w:r>
      <w:r w:rsidR="00546EF2">
        <w:rPr>
          <w:rFonts w:eastAsiaTheme="minorEastAsia" w:hint="eastAsia"/>
          <w:lang w:val="en-US" w:eastAsia="ko-KR"/>
        </w:rPr>
        <w:t xml:space="preserve">. </w:t>
      </w:r>
      <w:r w:rsidR="00245E67" w:rsidRPr="00245E67">
        <w:rPr>
          <w:rFonts w:eastAsiaTheme="minorEastAsia"/>
          <w:lang w:val="en-US" w:eastAsia="ko-KR"/>
        </w:rPr>
        <w:t>Enabling the UE to perform measurements with fewer SMTCs through network implementation can reduce the UE's power burden.</w:t>
      </w:r>
      <w:r w:rsidR="00051C2B">
        <w:rPr>
          <w:rFonts w:eastAsiaTheme="minorEastAsia" w:hint="eastAsia"/>
          <w:lang w:val="en-US" w:eastAsia="ko-KR"/>
        </w:rPr>
        <w:t xml:space="preserve"> </w:t>
      </w:r>
    </w:p>
    <w:p w14:paraId="55C78331" w14:textId="77777777" w:rsidR="00721C49" w:rsidRDefault="00245E67" w:rsidP="00721C49">
      <w:pPr>
        <w:keepNext/>
        <w:spacing w:before="120"/>
        <w:ind w:firstLineChars="150" w:firstLine="300"/>
        <w:jc w:val="center"/>
      </w:pPr>
      <w:r w:rsidRPr="00B8169A">
        <w:rPr>
          <w:rFonts w:eastAsiaTheme="minorEastAsia"/>
          <w:noProof/>
          <w:lang w:eastAsia="ko-KR"/>
        </w:rPr>
        <w:drawing>
          <wp:inline distT="0" distB="0" distL="0" distR="0" wp14:anchorId="5F8F0E39" wp14:editId="7C7177FD">
            <wp:extent cx="2226129" cy="2515400"/>
            <wp:effectExtent l="0" t="0" r="3175" b="0"/>
            <wp:docPr id="2072451552" name="그림 2" descr="텍스트, 스크린샷, 도표, 폰트이(가) 표시된 사진&#10;&#10;자동 생성된 설명">
              <a:extLst xmlns:a="http://schemas.openxmlformats.org/drawingml/2006/main">
                <a:ext uri="{FF2B5EF4-FFF2-40B4-BE49-F238E27FC236}">
                  <a16:creationId xmlns:a16="http://schemas.microsoft.com/office/drawing/2014/main" id="{3F47F372-7CE1-933E-BEFA-6F1385F432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451552" name="그림 2" descr="텍스트, 스크린샷, 도표, 폰트이(가) 표시된 사진&#10;&#10;자동 생성된 설명">
                      <a:extLst>
                        <a:ext uri="{FF2B5EF4-FFF2-40B4-BE49-F238E27FC236}">
                          <a16:creationId xmlns:a16="http://schemas.microsoft.com/office/drawing/2014/main" id="{3F47F372-7CE1-933E-BEFA-6F1385F4320A}"/>
                        </a:ext>
                      </a:extLst>
                    </pic:cNvPr>
                    <pic:cNvPicPr>
                      <a:picLocks noChangeAspect="1"/>
                    </pic:cNvPicPr>
                  </pic:nvPicPr>
                  <pic:blipFill>
                    <a:blip r:embed="rId8"/>
                    <a:stretch>
                      <a:fillRect/>
                    </a:stretch>
                  </pic:blipFill>
                  <pic:spPr>
                    <a:xfrm>
                      <a:off x="0" y="0"/>
                      <a:ext cx="2235135" cy="2525576"/>
                    </a:xfrm>
                    <a:prstGeom prst="rect">
                      <a:avLst/>
                    </a:prstGeom>
                  </pic:spPr>
                </pic:pic>
              </a:graphicData>
            </a:graphic>
          </wp:inline>
        </w:drawing>
      </w:r>
    </w:p>
    <w:p w14:paraId="77A642CC" w14:textId="33DB20F2" w:rsidR="00245E67" w:rsidRPr="00546EF2" w:rsidRDefault="00721C49" w:rsidP="00721C49">
      <w:pPr>
        <w:pStyle w:val="ac"/>
        <w:jc w:val="center"/>
        <w:rPr>
          <w:rFonts w:eastAsiaTheme="minorEastAsia"/>
          <w:lang w:val="en-US" w:eastAsia="ko-KR"/>
        </w:rPr>
      </w:pPr>
      <w:r w:rsidRPr="00A231F5">
        <w:rPr>
          <w:noProof/>
        </w:rPr>
        <w:t>Figure 1. Illustrating the SSB beam hopping area and the worst-case scenario.</w:t>
      </w:r>
    </w:p>
    <w:p w14:paraId="7BAC7B7C" w14:textId="5439D795" w:rsidR="00721C49" w:rsidRDefault="00721C49" w:rsidP="00721C49">
      <w:pPr>
        <w:pStyle w:val="1PropObs"/>
        <w:ind w:firstLineChars="0"/>
      </w:pPr>
      <w:r w:rsidRPr="00B8169A">
        <w:tab/>
      </w:r>
    </w:p>
    <w:p w14:paraId="5264451D" w14:textId="3DFEE2E4" w:rsidR="007977F4" w:rsidRDefault="007977F4" w:rsidP="00721C49">
      <w:pPr>
        <w:pStyle w:val="1PropObs"/>
        <w:ind w:firstLineChars="0"/>
      </w:pPr>
      <w:r w:rsidRPr="007977F4">
        <w:t xml:space="preserve">Observation </w:t>
      </w:r>
      <w:r>
        <w:rPr>
          <w:rFonts w:hint="eastAsia"/>
        </w:rPr>
        <w:t>5</w:t>
      </w:r>
      <w:r w:rsidRPr="007977F4">
        <w:tab/>
        <w:t>Enabling the UE to perform measurements with fewer SMTCs through network implementation can reduce the UE's power burden.</w:t>
      </w:r>
    </w:p>
    <w:p w14:paraId="5E9D2D42" w14:textId="4D8C1445" w:rsidR="007977F4" w:rsidRDefault="007977F4" w:rsidP="00721C49">
      <w:pPr>
        <w:pStyle w:val="1PropObs"/>
        <w:ind w:firstLineChars="0"/>
      </w:pPr>
      <w:r w:rsidRPr="007977F4">
        <w:t xml:space="preserve">Proposal </w:t>
      </w:r>
      <w:r>
        <w:rPr>
          <w:rFonts w:hint="eastAsia"/>
        </w:rPr>
        <w:t>2</w:t>
      </w:r>
      <w:r w:rsidRPr="007977F4">
        <w:tab/>
        <w:t xml:space="preserve">RAN2 </w:t>
      </w:r>
      <w:r>
        <w:rPr>
          <w:rFonts w:hint="eastAsia"/>
        </w:rPr>
        <w:t xml:space="preserve">assumes that there is no UE power consumption issue </w:t>
      </w:r>
      <w:r>
        <w:t>due to</w:t>
      </w:r>
      <w:r>
        <w:rPr>
          <w:rFonts w:hint="eastAsia"/>
        </w:rPr>
        <w:t xml:space="preserve"> the SMTC impact. </w:t>
      </w:r>
    </w:p>
    <w:p w14:paraId="52EC70F2" w14:textId="77777777" w:rsidR="006032A0" w:rsidRDefault="006032A0" w:rsidP="006032A0">
      <w:pPr>
        <w:pStyle w:val="1PropObs"/>
        <w:ind w:firstLineChars="0"/>
        <w:rPr>
          <w:rFonts w:eastAsiaTheme="minorEastAsia"/>
          <w:b w:val="0"/>
          <w:u w:val="single"/>
        </w:rPr>
      </w:pPr>
      <w:r>
        <w:rPr>
          <w:rFonts w:eastAsiaTheme="minorEastAsia" w:hint="eastAsia"/>
          <w:b w:val="0"/>
          <w:u w:val="single"/>
        </w:rPr>
        <w:t xml:space="preserve">Access </w:t>
      </w:r>
      <w:r>
        <w:rPr>
          <w:rFonts w:eastAsiaTheme="minorEastAsia"/>
          <w:b w:val="0"/>
          <w:u w:val="single"/>
        </w:rPr>
        <w:t>Control</w:t>
      </w:r>
      <w:r>
        <w:rPr>
          <w:rFonts w:eastAsiaTheme="minorEastAsia" w:hint="eastAsia"/>
          <w:b w:val="0"/>
          <w:u w:val="single"/>
        </w:rPr>
        <w:t xml:space="preserve"> </w:t>
      </w:r>
    </w:p>
    <w:p w14:paraId="53B5E13C" w14:textId="3CC9E0AF" w:rsidR="006032A0" w:rsidRPr="00FE2E58" w:rsidRDefault="00FE2E58" w:rsidP="00FE2E58">
      <w:pPr>
        <w:spacing w:before="120"/>
        <w:ind w:firstLineChars="150" w:firstLine="300"/>
        <w:jc w:val="both"/>
        <w:rPr>
          <w:rFonts w:eastAsiaTheme="minorEastAsia"/>
          <w:lang w:val="en-US" w:eastAsia="ko-KR"/>
        </w:rPr>
      </w:pPr>
      <w:r w:rsidRPr="00FE2E58">
        <w:rPr>
          <w:rFonts w:eastAsiaTheme="minorEastAsia"/>
          <w:lang w:val="en-US" w:eastAsia="ko-KR"/>
        </w:rPr>
        <w:t xml:space="preserve">From the last several meetings, RAN2 made some progress about the access control mechanism for DL-CE cell as below. </w:t>
      </w:r>
    </w:p>
    <w:p w14:paraId="038E952A" w14:textId="77777777" w:rsidR="006032A0" w:rsidRPr="0046066C" w:rsidRDefault="006032A0" w:rsidP="006032A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both"/>
        <w:textAlignment w:val="baseline"/>
        <w:rPr>
          <w:rFonts w:ascii="Arial" w:eastAsia="Times New Roman" w:hAnsi="Arial"/>
          <w:lang w:eastAsia="ja-JP"/>
        </w:rPr>
      </w:pPr>
      <w:r w:rsidRPr="0046066C">
        <w:rPr>
          <w:rFonts w:ascii="Arial" w:eastAsia="Times New Roman" w:hAnsi="Arial"/>
          <w:lang w:eastAsia="ja-JP"/>
        </w:rPr>
        <w:t>Agreements:</w:t>
      </w:r>
    </w:p>
    <w:p w14:paraId="0FFD21FC" w14:textId="77777777" w:rsidR="006032A0" w:rsidRPr="001D14C9" w:rsidRDefault="006032A0" w:rsidP="006032A0">
      <w:pPr>
        <w:pStyle w:val="afa"/>
        <w:numPr>
          <w:ilvl w:val="0"/>
          <w:numId w:val="30"/>
        </w:numPr>
        <w:pBdr>
          <w:top w:val="single" w:sz="4" w:space="1" w:color="auto"/>
          <w:left w:val="single" w:sz="4" w:space="4" w:color="auto"/>
          <w:bottom w:val="single" w:sz="4" w:space="1" w:color="auto"/>
          <w:right w:val="single" w:sz="4" w:space="4" w:color="auto"/>
        </w:pBdr>
        <w:tabs>
          <w:tab w:val="left" w:pos="1622"/>
        </w:tabs>
        <w:overflowPunct w:val="0"/>
        <w:adjustRightInd w:val="0"/>
        <w:ind w:leftChars="0"/>
        <w:textAlignment w:val="baseline"/>
        <w:rPr>
          <w:rFonts w:ascii="Arial" w:eastAsiaTheme="minorEastAsia" w:hAnsi="Arial"/>
        </w:rPr>
      </w:pPr>
      <w:r w:rsidRPr="001D14C9">
        <w:rPr>
          <w:rFonts w:ascii="Arial" w:eastAsia="Times New Roman" w:hAnsi="Arial"/>
          <w:lang w:eastAsia="ja-JP"/>
        </w:rP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7014BC3A" w14:textId="03E4A17A" w:rsidR="00F9614F" w:rsidRPr="00D32161" w:rsidRDefault="00FE2E58" w:rsidP="00D32161">
      <w:pPr>
        <w:spacing w:before="120"/>
        <w:ind w:firstLineChars="150" w:firstLine="300"/>
        <w:jc w:val="both"/>
        <w:rPr>
          <w:rFonts w:eastAsiaTheme="minorEastAsia"/>
          <w:lang w:val="en-US" w:eastAsia="ko-KR"/>
        </w:rPr>
      </w:pPr>
      <w:r w:rsidRPr="00FE2E58">
        <w:rPr>
          <w:rFonts w:eastAsiaTheme="minorEastAsia"/>
          <w:lang w:val="en-US" w:eastAsia="ko-KR"/>
        </w:rPr>
        <w:lastRenderedPageBreak/>
        <w:t xml:space="preserve">However, from the last RAN plenary meeting, </w:t>
      </w:r>
      <w:r w:rsidR="00F9614F" w:rsidRPr="00F9614F">
        <w:rPr>
          <w:rFonts w:eastAsiaTheme="minorEastAsia"/>
          <w:lang w:val="en-US" w:eastAsia="ko-KR"/>
        </w:rPr>
        <w:t xml:space="preserve">it was determined that the maximum additional SSB periodicity assumed by the UE during the initial cell search procedure is 160ms, which is the supported SSB periodicity in non-DL-CE cells. </w:t>
      </w:r>
      <w:r w:rsidR="00D32161" w:rsidRPr="00F9614F">
        <w:rPr>
          <w:rFonts w:eastAsiaTheme="minorEastAsia"/>
          <w:lang w:val="en-US" w:eastAsia="ko-KR"/>
        </w:rPr>
        <w:t>Additionally,</w:t>
      </w:r>
      <w:r w:rsidR="00D32161">
        <w:rPr>
          <w:rFonts w:eastAsiaTheme="minorEastAsia"/>
          <w:lang w:val="en-US" w:eastAsia="ko-KR"/>
        </w:rPr>
        <w:t xml:space="preserve"> the</w:t>
      </w:r>
      <w:r w:rsidR="00D66F97" w:rsidRPr="00D66F97">
        <w:rPr>
          <w:rFonts w:eastAsiaTheme="minorEastAsia"/>
          <w:lang w:val="en-US" w:eastAsia="ko-KR"/>
        </w:rPr>
        <w:t xml:space="preserve"> system level enhancements of the DL-CE cell do not consider the Rel-18 network energy saving techniques, according to the updated WID [1]. </w:t>
      </w:r>
      <w:r w:rsidR="00751801" w:rsidRPr="00FE2E58">
        <w:rPr>
          <w:rFonts w:eastAsiaTheme="minorEastAsia"/>
          <w:lang w:val="en-US" w:eastAsia="ko-KR"/>
        </w:rPr>
        <w:t>Based on this,</w:t>
      </w:r>
      <w:r w:rsidR="00751801">
        <w:rPr>
          <w:rFonts w:eastAsiaTheme="minorEastAsia" w:hint="eastAsia"/>
          <w:lang w:val="en-US" w:eastAsia="ko-KR"/>
        </w:rPr>
        <w:t xml:space="preserve"> i</w:t>
      </w:r>
      <w:r w:rsidR="00F9614F" w:rsidRPr="00F9614F">
        <w:rPr>
          <w:rFonts w:eastAsiaTheme="minorEastAsia"/>
          <w:lang w:val="en-US" w:eastAsia="ko-KR"/>
        </w:rPr>
        <w:t xml:space="preserve">f the UE successfully camps on DL-CE cells, </w:t>
      </w:r>
      <w:r w:rsidR="009857EF">
        <w:rPr>
          <w:rFonts w:eastAsiaTheme="minorEastAsia" w:hint="eastAsia"/>
          <w:lang w:val="en-US" w:eastAsia="ko-KR"/>
        </w:rPr>
        <w:t xml:space="preserve">there is </w:t>
      </w:r>
      <w:r w:rsidR="009857EF" w:rsidRPr="009857EF">
        <w:rPr>
          <w:rFonts w:eastAsiaTheme="minorEastAsia"/>
          <w:lang w:val="en-US" w:eastAsia="ko-KR"/>
        </w:rPr>
        <w:t>no backward compatibility issue</w:t>
      </w:r>
      <w:r w:rsidR="009857EF">
        <w:rPr>
          <w:rFonts w:eastAsiaTheme="minorEastAsia" w:hint="eastAsia"/>
          <w:lang w:val="en-US" w:eastAsia="ko-KR"/>
        </w:rPr>
        <w:t xml:space="preserve">. </w:t>
      </w:r>
      <w:r w:rsidR="009857EF">
        <w:rPr>
          <w:rFonts w:eastAsiaTheme="minorEastAsia"/>
          <w:lang w:val="en-US" w:eastAsia="ko-KR"/>
        </w:rPr>
        <w:t>Therefore</w:t>
      </w:r>
      <w:r w:rsidR="009857EF">
        <w:rPr>
          <w:rFonts w:eastAsiaTheme="minorEastAsia" w:hint="eastAsia"/>
          <w:lang w:val="en-US" w:eastAsia="ko-KR"/>
        </w:rPr>
        <w:t xml:space="preserve">, UEs </w:t>
      </w:r>
      <w:r w:rsidR="00F9614F">
        <w:rPr>
          <w:rFonts w:eastAsiaTheme="minorEastAsia" w:hint="eastAsia"/>
          <w:lang w:val="en-US" w:eastAsia="ko-KR"/>
        </w:rPr>
        <w:t xml:space="preserve">that do </w:t>
      </w:r>
      <w:r w:rsidR="00D32161">
        <w:rPr>
          <w:rFonts w:eastAsiaTheme="minorEastAsia"/>
          <w:lang w:val="en-US" w:eastAsia="ko-KR"/>
        </w:rPr>
        <w:t>not</w:t>
      </w:r>
      <w:r w:rsidR="00F9614F">
        <w:rPr>
          <w:rFonts w:eastAsiaTheme="minorEastAsia" w:hint="eastAsia"/>
          <w:lang w:val="en-US" w:eastAsia="ko-KR"/>
        </w:rPr>
        <w:t xml:space="preserve"> </w:t>
      </w:r>
      <w:r w:rsidR="009857EF">
        <w:rPr>
          <w:rFonts w:eastAsiaTheme="minorEastAsia" w:hint="eastAsia"/>
          <w:lang w:val="en-US" w:eastAsia="ko-KR"/>
        </w:rPr>
        <w:t>support</w:t>
      </w:r>
      <w:r w:rsidR="00F9614F">
        <w:rPr>
          <w:rFonts w:eastAsiaTheme="minorEastAsia" w:hint="eastAsia"/>
          <w:lang w:val="en-US" w:eastAsia="ko-KR"/>
        </w:rPr>
        <w:t xml:space="preserve"> </w:t>
      </w:r>
      <w:r w:rsidR="009857EF">
        <w:rPr>
          <w:rFonts w:eastAsiaTheme="minorEastAsia" w:hint="eastAsia"/>
          <w:lang w:val="en-US" w:eastAsia="ko-KR"/>
        </w:rPr>
        <w:t xml:space="preserve">DL-CE should not be barred from the DL-CE cells. </w:t>
      </w:r>
      <w:r w:rsidR="00F9614F" w:rsidRPr="00F9614F">
        <w:rPr>
          <w:rFonts w:eastAsiaTheme="minorEastAsia"/>
          <w:lang w:val="en-US" w:eastAsia="ko-KR"/>
        </w:rPr>
        <w:t>In conclusion</w:t>
      </w:r>
      <w:r w:rsidR="009857EF">
        <w:rPr>
          <w:rFonts w:eastAsiaTheme="minorEastAsia" w:hint="eastAsia"/>
          <w:lang w:val="en-US" w:eastAsia="ko-KR"/>
        </w:rPr>
        <w:t>, there</w:t>
      </w:r>
      <w:r w:rsidR="009857EF" w:rsidRPr="009857EF">
        <w:rPr>
          <w:rFonts w:eastAsiaTheme="minorEastAsia"/>
          <w:lang w:val="en-US" w:eastAsia="ko-KR"/>
        </w:rPr>
        <w:t xml:space="preserve"> is no need to discuss using separate access control for DL-CE cells.</w:t>
      </w:r>
    </w:p>
    <w:p w14:paraId="1CF199F8" w14:textId="34E7A0F7" w:rsidR="00721C49" w:rsidRPr="0047690E" w:rsidRDefault="00721C49" w:rsidP="00721C49">
      <w:pPr>
        <w:pStyle w:val="1PropObs"/>
        <w:ind w:firstLineChars="0"/>
      </w:pPr>
      <w:r w:rsidRPr="0047690E">
        <w:t xml:space="preserve">Proposal </w:t>
      </w:r>
      <w:r w:rsidRPr="0047690E">
        <w:rPr>
          <w:rFonts w:hint="eastAsia"/>
        </w:rPr>
        <w:t>3</w:t>
      </w:r>
      <w:r w:rsidRPr="0047690E">
        <w:tab/>
        <w:t xml:space="preserve">RAN2 assumes that the </w:t>
      </w:r>
      <w:r w:rsidR="00D32161" w:rsidRPr="0047690E">
        <w:rPr>
          <w:rFonts w:hint="eastAsia"/>
        </w:rPr>
        <w:t xml:space="preserve">UE not supporting </w:t>
      </w:r>
      <w:r w:rsidRPr="0047690E">
        <w:t xml:space="preserve">DL-CE </w:t>
      </w:r>
      <w:r w:rsidR="00D32161" w:rsidRPr="0047690E">
        <w:rPr>
          <w:rFonts w:hint="eastAsia"/>
        </w:rPr>
        <w:t xml:space="preserve">should not be barred </w:t>
      </w:r>
      <w:r w:rsidRPr="0047690E">
        <w:t>from the</w:t>
      </w:r>
      <w:r w:rsidR="00D32161" w:rsidRPr="0047690E">
        <w:rPr>
          <w:rFonts w:hint="eastAsia"/>
        </w:rPr>
        <w:t xml:space="preserve"> </w:t>
      </w:r>
      <w:r w:rsidRPr="0047690E">
        <w:t>DL-CE cell.</w:t>
      </w:r>
    </w:p>
    <w:p w14:paraId="54C92E69" w14:textId="489A1AAC" w:rsidR="00F9614F" w:rsidRPr="00B8169A" w:rsidRDefault="00F9614F" w:rsidP="00721C49">
      <w:pPr>
        <w:pStyle w:val="1PropObs"/>
        <w:ind w:firstLineChars="0"/>
      </w:pPr>
      <w:r w:rsidRPr="00F9614F">
        <w:t xml:space="preserve">Proposal </w:t>
      </w:r>
      <w:r w:rsidR="00D32161">
        <w:rPr>
          <w:rFonts w:hint="eastAsia"/>
        </w:rPr>
        <w:t>4</w:t>
      </w:r>
      <w:r w:rsidRPr="00F9614F">
        <w:tab/>
        <w:t xml:space="preserve">RAN2 assumes that the DL-CE cell does not require </w:t>
      </w:r>
      <w:r w:rsidR="00D32161">
        <w:rPr>
          <w:rFonts w:hint="eastAsia"/>
        </w:rPr>
        <w:t xml:space="preserve">a </w:t>
      </w:r>
      <w:r w:rsidRPr="00F9614F">
        <w:t>separate access control mechanism from the non-DL-CE cell.</w:t>
      </w:r>
    </w:p>
    <w:p w14:paraId="2ECBF6BD" w14:textId="2B425546" w:rsidR="00D4259F" w:rsidRPr="00B8169A" w:rsidRDefault="00B02523">
      <w:pPr>
        <w:pStyle w:val="1"/>
        <w:spacing w:line="300" w:lineRule="atLeast"/>
        <w:rPr>
          <w:noProof/>
          <w:lang w:val="en-US" w:eastAsia="ko-KR"/>
        </w:rPr>
      </w:pPr>
      <w:r w:rsidRPr="00B8169A">
        <w:rPr>
          <w:rFonts w:eastAsia="맑은 고딕" w:hint="eastAsia"/>
          <w:lang w:val="en-US" w:eastAsia="ko-KR"/>
        </w:rPr>
        <w:t>3</w:t>
      </w:r>
      <w:r w:rsidRPr="00B8169A">
        <w:rPr>
          <w:rFonts w:eastAsia="맑은 고딕"/>
          <w:lang w:val="en-US" w:eastAsia="ko-KR"/>
        </w:rPr>
        <w:t>.</w:t>
      </w:r>
      <w:r w:rsidRPr="00B8169A">
        <w:rPr>
          <w:noProof/>
          <w:lang w:val="en-US" w:eastAsia="ko-KR"/>
        </w:rPr>
        <w:t xml:space="preserve"> </w:t>
      </w:r>
      <w:r w:rsidRPr="00B8169A">
        <w:rPr>
          <w:rFonts w:hint="eastAsia"/>
          <w:noProof/>
          <w:lang w:val="en-US" w:eastAsia="ko-KR"/>
        </w:rPr>
        <w:t>Conclusion</w:t>
      </w:r>
    </w:p>
    <w:p w14:paraId="61C58EFE" w14:textId="2E2DA369" w:rsidR="00D4259F" w:rsidRPr="00B8169A" w:rsidRDefault="00B02523" w:rsidP="00ED389C">
      <w:pPr>
        <w:ind w:firstLineChars="100" w:firstLine="200"/>
        <w:rPr>
          <w:lang w:eastAsia="ko-KR"/>
        </w:rPr>
      </w:pPr>
      <w:r w:rsidRPr="00B8169A">
        <w:rPr>
          <w:lang w:eastAsia="ko-KR"/>
        </w:rPr>
        <w:t xml:space="preserve">In this contribution, </w:t>
      </w:r>
      <w:r w:rsidR="00574467" w:rsidRPr="00B8169A">
        <w:rPr>
          <w:lang w:eastAsia="ko-KR"/>
        </w:rPr>
        <w:t>following statements are proposed</w:t>
      </w:r>
      <w:r w:rsidRPr="00B8169A">
        <w:rPr>
          <w:lang w:eastAsia="ko-KR"/>
        </w:rPr>
        <w:t>:</w:t>
      </w:r>
    </w:p>
    <w:p w14:paraId="7539EE2D" w14:textId="77777777" w:rsidR="00D32161" w:rsidRDefault="00D32161" w:rsidP="00D32161">
      <w:pPr>
        <w:pStyle w:val="1PropObs"/>
      </w:pPr>
      <w:r>
        <w:t>Observation 1</w:t>
      </w:r>
      <w:r>
        <w:tab/>
        <w:t>There may exist neighbor cells with different SSB periodicities and offsets from other neighbor cells or a serving cell.</w:t>
      </w:r>
    </w:p>
    <w:p w14:paraId="4C41E769" w14:textId="77777777" w:rsidR="00D32161" w:rsidRDefault="00D32161" w:rsidP="00D32161">
      <w:pPr>
        <w:pStyle w:val="1PropObs"/>
      </w:pPr>
      <w:r>
        <w:t>Observation 2</w:t>
      </w:r>
      <w:r>
        <w:tab/>
        <w:t>The SMTC4list, configured for the NTN cell, cannot support different SMTC periodicity from the SMTC1.</w:t>
      </w:r>
    </w:p>
    <w:p w14:paraId="009C3CDC" w14:textId="77777777" w:rsidR="00D32161" w:rsidRDefault="00D32161" w:rsidP="00D32161">
      <w:pPr>
        <w:pStyle w:val="1PropObs"/>
      </w:pPr>
      <w:r>
        <w:t>Observation 3</w:t>
      </w:r>
      <w:r>
        <w:tab/>
        <w:t>The SMTC configuration that does not consider the cell's SSB transmission periodicity may increase the UE power consumption or the latency of the cell reselection procedure.</w:t>
      </w:r>
    </w:p>
    <w:p w14:paraId="19AA7237" w14:textId="77777777" w:rsidR="00D32161" w:rsidRDefault="00D32161" w:rsidP="00D32161">
      <w:pPr>
        <w:pStyle w:val="1PropObs"/>
      </w:pPr>
      <w:r>
        <w:t>Proposal 1</w:t>
      </w:r>
      <w:r>
        <w:tab/>
        <w:t xml:space="preserve">RAN2 should introduce a new SMTC list, which can have different periodicity and offset from </w:t>
      </w:r>
      <w:proofErr w:type="gramStart"/>
      <w:r>
        <w:t>the SMTC1</w:t>
      </w:r>
      <w:proofErr w:type="gramEnd"/>
      <w:r>
        <w:t>.</w:t>
      </w:r>
    </w:p>
    <w:p w14:paraId="5F157ED2" w14:textId="77777777" w:rsidR="00D32161" w:rsidRDefault="00D32161" w:rsidP="00C6583A">
      <w:pPr>
        <w:pStyle w:val="1PropObs"/>
      </w:pPr>
      <w:r w:rsidRPr="00D32161">
        <w:t>Observation 4</w:t>
      </w:r>
      <w:r w:rsidRPr="00D32161">
        <w:tab/>
        <w:t xml:space="preserve">As the SSB periodicity is extended, the number of SMTCs required for measurement might increase, which leads to the UE’s power burden </w:t>
      </w:r>
    </w:p>
    <w:p w14:paraId="22B7603C" w14:textId="77777777" w:rsidR="00D32161" w:rsidRDefault="00D32161" w:rsidP="00D32161">
      <w:pPr>
        <w:pStyle w:val="1PropObs"/>
      </w:pPr>
      <w:r>
        <w:t>Observation 5</w:t>
      </w:r>
      <w:r>
        <w:tab/>
        <w:t>Enabling the UE to perform measurements with fewer SMTCs through network implementation can reduce the UE's power burden.</w:t>
      </w:r>
    </w:p>
    <w:p w14:paraId="430AEC91" w14:textId="77777777" w:rsidR="00D32161" w:rsidRDefault="00D32161" w:rsidP="00D32161">
      <w:pPr>
        <w:pStyle w:val="1PropObs"/>
      </w:pPr>
      <w:r>
        <w:t>Proposal 2</w:t>
      </w:r>
      <w:r>
        <w:tab/>
        <w:t xml:space="preserve">RAN2 assumes that there is no UE power consumption issue due to the SMTC impact. </w:t>
      </w:r>
    </w:p>
    <w:p w14:paraId="5FB6D71B" w14:textId="77777777" w:rsidR="00D32161" w:rsidRDefault="00D32161" w:rsidP="00D32161">
      <w:pPr>
        <w:pStyle w:val="1PropObs"/>
      </w:pPr>
      <w:r>
        <w:t>Proposal 3</w:t>
      </w:r>
      <w:r>
        <w:tab/>
        <w:t>RAN2 assumes that the UE not supporting DL-CE should not be barred from the DL-CE cell.</w:t>
      </w:r>
    </w:p>
    <w:p w14:paraId="5C94B265" w14:textId="04671B2D" w:rsidR="00D32161" w:rsidRDefault="00D32161" w:rsidP="00D32161">
      <w:pPr>
        <w:pStyle w:val="1PropObs"/>
      </w:pPr>
      <w:r>
        <w:t>Proposal 4</w:t>
      </w:r>
      <w:r>
        <w:tab/>
        <w:t>RAN2 assumes that the DL-CE cell does not require a separate access control mechanism from the non-DL-CE cell.</w:t>
      </w:r>
    </w:p>
    <w:p w14:paraId="2D74456B" w14:textId="65BA98A7" w:rsidR="00B072E6" w:rsidRPr="00D6642C" w:rsidRDefault="00D75919" w:rsidP="005867FC">
      <w:pPr>
        <w:pStyle w:val="1"/>
        <w:spacing w:line="300" w:lineRule="atLeast"/>
        <w:rPr>
          <w:noProof/>
          <w:lang w:val="en-US" w:eastAsia="ko-KR"/>
        </w:rPr>
      </w:pPr>
      <w:r w:rsidRPr="00B8169A">
        <w:rPr>
          <w:rFonts w:hint="eastAsia"/>
          <w:noProof/>
          <w:lang w:val="en-US" w:eastAsia="ko-KR"/>
        </w:rPr>
        <w:t>4. References</w:t>
      </w:r>
    </w:p>
    <w:p w14:paraId="5A6DCF40" w14:textId="17856984" w:rsidR="00E95702" w:rsidRPr="00D6642C" w:rsidRDefault="00F26008" w:rsidP="005B0F68">
      <w:pPr>
        <w:rPr>
          <w:lang w:eastAsia="ko-KR"/>
        </w:rPr>
      </w:pPr>
      <w:r w:rsidRPr="00F26008">
        <w:rPr>
          <w:lang w:eastAsia="ko-KR"/>
        </w:rPr>
        <w:t>[</w:t>
      </w:r>
      <w:r>
        <w:rPr>
          <w:rFonts w:hint="eastAsia"/>
          <w:lang w:eastAsia="ko-KR"/>
        </w:rPr>
        <w:t>1</w:t>
      </w:r>
      <w:r w:rsidRPr="00F26008">
        <w:rPr>
          <w:lang w:eastAsia="ko-KR"/>
        </w:rPr>
        <w:t xml:space="preserve">] </w:t>
      </w:r>
      <w:r w:rsidR="00AF1EA4" w:rsidRPr="00AF1EA4">
        <w:rPr>
          <w:lang w:eastAsia="ko-KR"/>
        </w:rPr>
        <w:t>RP-243300</w:t>
      </w:r>
      <w:r w:rsidRPr="00F26008">
        <w:rPr>
          <w:lang w:eastAsia="ko-KR"/>
        </w:rPr>
        <w:tab/>
      </w:r>
      <w:r w:rsidR="00AF1EA4" w:rsidRPr="00AF1EA4">
        <w:rPr>
          <w:lang w:eastAsia="ko-KR"/>
        </w:rPr>
        <w:t>Revised WID: Non-Terrestrial Networks (NTN) for NR Phase 3</w:t>
      </w:r>
      <w:r w:rsidRPr="00F26008">
        <w:rPr>
          <w:lang w:eastAsia="ko-KR"/>
        </w:rPr>
        <w:tab/>
        <w:t>Moderator (THALES)</w:t>
      </w:r>
      <w:r>
        <w:rPr>
          <w:rFonts w:hint="eastAsia"/>
          <w:lang w:eastAsia="ko-KR"/>
        </w:rPr>
        <w:t>.</w:t>
      </w:r>
    </w:p>
    <w:sectPr w:rsidR="00E95702" w:rsidRPr="00D6642C" w:rsidSect="002F1AA5">
      <w:footerReference w:type="even" r:id="rId9"/>
      <w:footerReference w:type="default" r:id="rId10"/>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EAE37" w14:textId="77777777" w:rsidR="00362283" w:rsidRDefault="00362283">
      <w:pPr>
        <w:pStyle w:val="1"/>
      </w:pPr>
      <w:r>
        <w:separator/>
      </w:r>
    </w:p>
  </w:endnote>
  <w:endnote w:type="continuationSeparator" w:id="0">
    <w:p w14:paraId="04394E4A" w14:textId="77777777" w:rsidR="00362283" w:rsidRDefault="0036228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6176B953"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30EF6">
      <w:rPr>
        <w:rStyle w:val="af1"/>
      </w:rPr>
      <w:t>4</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6F298" w14:textId="77777777" w:rsidR="00362283" w:rsidRDefault="00362283">
      <w:pPr>
        <w:pStyle w:val="1"/>
      </w:pPr>
      <w:r>
        <w:separator/>
      </w:r>
    </w:p>
  </w:footnote>
  <w:footnote w:type="continuationSeparator" w:id="0">
    <w:p w14:paraId="6BA28E0D" w14:textId="77777777" w:rsidR="00362283" w:rsidRDefault="00362283">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A07F89"/>
    <w:multiLevelType w:val="hybridMultilevel"/>
    <w:tmpl w:val="9CEA2360"/>
    <w:lvl w:ilvl="0" w:tplc="012C50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F4E5875"/>
    <w:multiLevelType w:val="hybridMultilevel"/>
    <w:tmpl w:val="A6DE2656"/>
    <w:lvl w:ilvl="0" w:tplc="EE32AC0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109D0868"/>
    <w:multiLevelType w:val="hybridMultilevel"/>
    <w:tmpl w:val="8F66E4F2"/>
    <w:lvl w:ilvl="0" w:tplc="5540CAC6">
      <w:start w:val="4"/>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4" w15:restartNumberingAfterBreak="0">
    <w:nsid w:val="17110CA6"/>
    <w:multiLevelType w:val="hybridMultilevel"/>
    <w:tmpl w:val="D2521946"/>
    <w:lvl w:ilvl="0" w:tplc="B8F0453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A7066AF"/>
    <w:multiLevelType w:val="hybridMultilevel"/>
    <w:tmpl w:val="ACDE2B3C"/>
    <w:lvl w:ilvl="0" w:tplc="0409000F">
      <w:start w:val="1"/>
      <w:numFmt w:val="decimal"/>
      <w:lvlText w:val="%1."/>
      <w:lvlJc w:val="left"/>
      <w:pPr>
        <w:ind w:left="1180" w:hanging="440"/>
      </w:pPr>
    </w:lvl>
    <w:lvl w:ilvl="1" w:tplc="04090019" w:tentative="1">
      <w:start w:val="1"/>
      <w:numFmt w:val="upperLetter"/>
      <w:lvlText w:val="%2."/>
      <w:lvlJc w:val="left"/>
      <w:pPr>
        <w:ind w:left="1620" w:hanging="440"/>
      </w:pPr>
    </w:lvl>
    <w:lvl w:ilvl="2" w:tplc="0409001B" w:tentative="1">
      <w:start w:val="1"/>
      <w:numFmt w:val="lowerRoman"/>
      <w:lvlText w:val="%3."/>
      <w:lvlJc w:val="right"/>
      <w:pPr>
        <w:ind w:left="2060" w:hanging="440"/>
      </w:pPr>
    </w:lvl>
    <w:lvl w:ilvl="3" w:tplc="0409000F" w:tentative="1">
      <w:start w:val="1"/>
      <w:numFmt w:val="decimal"/>
      <w:lvlText w:val="%4."/>
      <w:lvlJc w:val="left"/>
      <w:pPr>
        <w:ind w:left="2500" w:hanging="440"/>
      </w:pPr>
    </w:lvl>
    <w:lvl w:ilvl="4" w:tplc="04090019" w:tentative="1">
      <w:start w:val="1"/>
      <w:numFmt w:val="upperLetter"/>
      <w:lvlText w:val="%5."/>
      <w:lvlJc w:val="left"/>
      <w:pPr>
        <w:ind w:left="2940" w:hanging="440"/>
      </w:pPr>
    </w:lvl>
    <w:lvl w:ilvl="5" w:tplc="0409001B" w:tentative="1">
      <w:start w:val="1"/>
      <w:numFmt w:val="lowerRoman"/>
      <w:lvlText w:val="%6."/>
      <w:lvlJc w:val="right"/>
      <w:pPr>
        <w:ind w:left="3380" w:hanging="440"/>
      </w:pPr>
    </w:lvl>
    <w:lvl w:ilvl="6" w:tplc="0409000F" w:tentative="1">
      <w:start w:val="1"/>
      <w:numFmt w:val="decimal"/>
      <w:lvlText w:val="%7."/>
      <w:lvlJc w:val="left"/>
      <w:pPr>
        <w:ind w:left="3820" w:hanging="440"/>
      </w:pPr>
    </w:lvl>
    <w:lvl w:ilvl="7" w:tplc="04090019" w:tentative="1">
      <w:start w:val="1"/>
      <w:numFmt w:val="upperLetter"/>
      <w:lvlText w:val="%8."/>
      <w:lvlJc w:val="left"/>
      <w:pPr>
        <w:ind w:left="4260" w:hanging="440"/>
      </w:pPr>
    </w:lvl>
    <w:lvl w:ilvl="8" w:tplc="0409001B" w:tentative="1">
      <w:start w:val="1"/>
      <w:numFmt w:val="lowerRoman"/>
      <w:lvlText w:val="%9."/>
      <w:lvlJc w:val="right"/>
      <w:pPr>
        <w:ind w:left="4700" w:hanging="440"/>
      </w:pPr>
    </w:lvl>
  </w:abstractNum>
  <w:abstractNum w:abstractNumId="6" w15:restartNumberingAfterBreak="0">
    <w:nsid w:val="1EE909D0"/>
    <w:multiLevelType w:val="hybridMultilevel"/>
    <w:tmpl w:val="A8F6546C"/>
    <w:lvl w:ilvl="0" w:tplc="BA68E174">
      <w:numFmt w:val="bullet"/>
      <w:lvlText w:val=""/>
      <w:lvlJc w:val="left"/>
      <w:pPr>
        <w:ind w:left="660" w:hanging="360"/>
      </w:pPr>
      <w:rPr>
        <w:rFonts w:ascii="Wingdings" w:eastAsiaTheme="minorEastAsia" w:hAnsi="Wingdings" w:cs="Times New Roman"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7" w15:restartNumberingAfterBreak="0">
    <w:nsid w:val="217777A7"/>
    <w:multiLevelType w:val="hybridMultilevel"/>
    <w:tmpl w:val="89806E2E"/>
    <w:lvl w:ilvl="0" w:tplc="9D1CB864">
      <w:start w:val="1"/>
      <w:numFmt w:val="decimal"/>
      <w:lvlText w:val="%1."/>
      <w:lvlJc w:val="left"/>
      <w:pPr>
        <w:ind w:left="1619" w:hanging="360"/>
      </w:pPr>
      <w:rPr>
        <w:rFonts w:eastAsia="Times New Roman"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8" w15:restartNumberingAfterBreak="0">
    <w:nsid w:val="26497B8B"/>
    <w:multiLevelType w:val="hybridMultilevel"/>
    <w:tmpl w:val="44921594"/>
    <w:lvl w:ilvl="0" w:tplc="0409000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9" w15:restartNumberingAfterBreak="0">
    <w:nsid w:val="26682BC7"/>
    <w:multiLevelType w:val="hybridMultilevel"/>
    <w:tmpl w:val="F4449F94"/>
    <w:lvl w:ilvl="0" w:tplc="918E87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E2624B8"/>
    <w:multiLevelType w:val="hybridMultilevel"/>
    <w:tmpl w:val="88021F02"/>
    <w:lvl w:ilvl="0" w:tplc="0E38B58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807F39"/>
    <w:multiLevelType w:val="hybridMultilevel"/>
    <w:tmpl w:val="068EBD6C"/>
    <w:lvl w:ilvl="0" w:tplc="5644E1E0">
      <w:start w:val="1"/>
      <w:numFmt w:val="decimal"/>
      <w:lvlText w:val="%1."/>
      <w:lvlJc w:val="left"/>
      <w:pPr>
        <w:ind w:left="1619" w:hanging="360"/>
      </w:pPr>
      <w:rPr>
        <w:rFonts w:eastAsia="바탕"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3E087A29"/>
    <w:multiLevelType w:val="hybridMultilevel"/>
    <w:tmpl w:val="F262191E"/>
    <w:lvl w:ilvl="0" w:tplc="B5DEB4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40635E75"/>
    <w:multiLevelType w:val="hybridMultilevel"/>
    <w:tmpl w:val="062AB538"/>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6" w15:restartNumberingAfterBreak="0">
    <w:nsid w:val="41C84C62"/>
    <w:multiLevelType w:val="hybridMultilevel"/>
    <w:tmpl w:val="2A4AB246"/>
    <w:lvl w:ilvl="0" w:tplc="E2F4511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AE667C"/>
    <w:multiLevelType w:val="hybridMultilevel"/>
    <w:tmpl w:val="2812BBFC"/>
    <w:lvl w:ilvl="0" w:tplc="044C3678">
      <w:start w:val="2"/>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2E6D7E"/>
    <w:multiLevelType w:val="hybridMultilevel"/>
    <w:tmpl w:val="C7886218"/>
    <w:lvl w:ilvl="0" w:tplc="69A41C2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51876570"/>
    <w:multiLevelType w:val="hybridMultilevel"/>
    <w:tmpl w:val="55E21C70"/>
    <w:lvl w:ilvl="0" w:tplc="A6720EDC">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56490072"/>
    <w:multiLevelType w:val="hybridMultilevel"/>
    <w:tmpl w:val="40880FB8"/>
    <w:lvl w:ilvl="0" w:tplc="B4383728">
      <w:start w:val="550"/>
      <w:numFmt w:val="bullet"/>
      <w:lvlText w:val=""/>
      <w:lvlJc w:val="left"/>
      <w:pPr>
        <w:ind w:left="644" w:hanging="360"/>
      </w:pPr>
      <w:rPr>
        <w:rFonts w:ascii="Wingdings" w:eastAsia="바탕"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56844926"/>
    <w:multiLevelType w:val="hybridMultilevel"/>
    <w:tmpl w:val="D188F9BC"/>
    <w:lvl w:ilvl="0" w:tplc="04090019">
      <w:start w:val="1"/>
      <w:numFmt w:val="upperLetter"/>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5C1B4C25"/>
    <w:multiLevelType w:val="hybridMultilevel"/>
    <w:tmpl w:val="E1A4D0D8"/>
    <w:lvl w:ilvl="0" w:tplc="04090019">
      <w:start w:val="1"/>
      <w:numFmt w:val="upperLetter"/>
      <w:lvlText w:val="%1."/>
      <w:lvlJc w:val="left"/>
      <w:pPr>
        <w:ind w:left="1180" w:hanging="440"/>
      </w:pPr>
    </w:lvl>
    <w:lvl w:ilvl="1" w:tplc="FFFFFFFF" w:tentative="1">
      <w:start w:val="1"/>
      <w:numFmt w:val="upperLetter"/>
      <w:lvlText w:val="%2."/>
      <w:lvlJc w:val="left"/>
      <w:pPr>
        <w:ind w:left="1620" w:hanging="440"/>
      </w:pPr>
    </w:lvl>
    <w:lvl w:ilvl="2" w:tplc="FFFFFFFF" w:tentative="1">
      <w:start w:val="1"/>
      <w:numFmt w:val="lowerRoman"/>
      <w:lvlText w:val="%3."/>
      <w:lvlJc w:val="right"/>
      <w:pPr>
        <w:ind w:left="2060" w:hanging="440"/>
      </w:pPr>
    </w:lvl>
    <w:lvl w:ilvl="3" w:tplc="FFFFFFFF" w:tentative="1">
      <w:start w:val="1"/>
      <w:numFmt w:val="decimal"/>
      <w:lvlText w:val="%4."/>
      <w:lvlJc w:val="left"/>
      <w:pPr>
        <w:ind w:left="2500" w:hanging="440"/>
      </w:pPr>
    </w:lvl>
    <w:lvl w:ilvl="4" w:tplc="FFFFFFFF" w:tentative="1">
      <w:start w:val="1"/>
      <w:numFmt w:val="upperLetter"/>
      <w:lvlText w:val="%5."/>
      <w:lvlJc w:val="left"/>
      <w:pPr>
        <w:ind w:left="2940" w:hanging="440"/>
      </w:pPr>
    </w:lvl>
    <w:lvl w:ilvl="5" w:tplc="FFFFFFFF" w:tentative="1">
      <w:start w:val="1"/>
      <w:numFmt w:val="lowerRoman"/>
      <w:lvlText w:val="%6."/>
      <w:lvlJc w:val="right"/>
      <w:pPr>
        <w:ind w:left="3380" w:hanging="440"/>
      </w:pPr>
    </w:lvl>
    <w:lvl w:ilvl="6" w:tplc="FFFFFFFF" w:tentative="1">
      <w:start w:val="1"/>
      <w:numFmt w:val="decimal"/>
      <w:lvlText w:val="%7."/>
      <w:lvlJc w:val="left"/>
      <w:pPr>
        <w:ind w:left="3820" w:hanging="440"/>
      </w:pPr>
    </w:lvl>
    <w:lvl w:ilvl="7" w:tplc="FFFFFFFF" w:tentative="1">
      <w:start w:val="1"/>
      <w:numFmt w:val="upperLetter"/>
      <w:lvlText w:val="%8."/>
      <w:lvlJc w:val="left"/>
      <w:pPr>
        <w:ind w:left="4260" w:hanging="440"/>
      </w:pPr>
    </w:lvl>
    <w:lvl w:ilvl="8" w:tplc="FFFFFFFF" w:tentative="1">
      <w:start w:val="1"/>
      <w:numFmt w:val="lowerRoman"/>
      <w:lvlText w:val="%9."/>
      <w:lvlJc w:val="right"/>
      <w:pPr>
        <w:ind w:left="4700" w:hanging="440"/>
      </w:pPr>
    </w:lvl>
  </w:abstractNum>
  <w:abstractNum w:abstractNumId="26" w15:restartNumberingAfterBreak="0">
    <w:nsid w:val="61DB6308"/>
    <w:multiLevelType w:val="hybridMultilevel"/>
    <w:tmpl w:val="062AB538"/>
    <w:lvl w:ilvl="0" w:tplc="99C0FEE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5760556">
    <w:abstractNumId w:val="17"/>
  </w:num>
  <w:num w:numId="2" w16cid:durableId="1767923810">
    <w:abstractNumId w:val="0"/>
  </w:num>
  <w:num w:numId="3" w16cid:durableId="43338078">
    <w:abstractNumId w:val="19"/>
  </w:num>
  <w:num w:numId="4" w16cid:durableId="1781683788">
    <w:abstractNumId w:val="31"/>
  </w:num>
  <w:num w:numId="5" w16cid:durableId="29887937">
    <w:abstractNumId w:val="20"/>
  </w:num>
  <w:num w:numId="6" w16cid:durableId="594477704">
    <w:abstractNumId w:val="30"/>
  </w:num>
  <w:num w:numId="7" w16cid:durableId="36785130">
    <w:abstractNumId w:val="13"/>
  </w:num>
  <w:num w:numId="8" w16cid:durableId="197394768">
    <w:abstractNumId w:val="27"/>
  </w:num>
  <w:num w:numId="9" w16cid:durableId="239369389">
    <w:abstractNumId w:val="28"/>
  </w:num>
  <w:num w:numId="10" w16cid:durableId="1603108783">
    <w:abstractNumId w:val="22"/>
  </w:num>
  <w:num w:numId="11" w16cid:durableId="775442339">
    <w:abstractNumId w:val="21"/>
  </w:num>
  <w:num w:numId="12" w16cid:durableId="1321157273">
    <w:abstractNumId w:val="23"/>
  </w:num>
  <w:num w:numId="13" w16cid:durableId="1008210708">
    <w:abstractNumId w:val="26"/>
  </w:num>
  <w:num w:numId="14" w16cid:durableId="150100684">
    <w:abstractNumId w:val="15"/>
  </w:num>
  <w:num w:numId="15" w16cid:durableId="998774455">
    <w:abstractNumId w:val="5"/>
  </w:num>
  <w:num w:numId="16" w16cid:durableId="1733769010">
    <w:abstractNumId w:val="25"/>
  </w:num>
  <w:num w:numId="17" w16cid:durableId="1924148039">
    <w:abstractNumId w:val="24"/>
  </w:num>
  <w:num w:numId="18" w16cid:durableId="1308511030">
    <w:abstractNumId w:val="18"/>
  </w:num>
  <w:num w:numId="19" w16cid:durableId="1991127481">
    <w:abstractNumId w:val="3"/>
  </w:num>
  <w:num w:numId="20" w16cid:durableId="908346225">
    <w:abstractNumId w:val="1"/>
  </w:num>
  <w:num w:numId="21" w16cid:durableId="670716608">
    <w:abstractNumId w:val="9"/>
  </w:num>
  <w:num w:numId="22" w16cid:durableId="1374691208">
    <w:abstractNumId w:val="14"/>
  </w:num>
  <w:num w:numId="23" w16cid:durableId="259065822">
    <w:abstractNumId w:val="16"/>
  </w:num>
  <w:num w:numId="24" w16cid:durableId="777141684">
    <w:abstractNumId w:val="4"/>
  </w:num>
  <w:num w:numId="25" w16cid:durableId="1894999305">
    <w:abstractNumId w:val="7"/>
  </w:num>
  <w:num w:numId="26" w16cid:durableId="1808233824">
    <w:abstractNumId w:val="29"/>
  </w:num>
  <w:num w:numId="27" w16cid:durableId="1432897538">
    <w:abstractNumId w:val="11"/>
  </w:num>
  <w:num w:numId="28" w16cid:durableId="1758817790">
    <w:abstractNumId w:val="10"/>
  </w:num>
  <w:num w:numId="29" w16cid:durableId="27684907">
    <w:abstractNumId w:val="2"/>
  </w:num>
  <w:num w:numId="30" w16cid:durableId="1701585982">
    <w:abstractNumId w:val="8"/>
  </w:num>
  <w:num w:numId="31" w16cid:durableId="1987973240">
    <w:abstractNumId w:val="12"/>
  </w:num>
  <w:num w:numId="32" w16cid:durableId="128858988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1375"/>
    <w:rsid w:val="0000209D"/>
    <w:rsid w:val="00002BC4"/>
    <w:rsid w:val="00003840"/>
    <w:rsid w:val="000048E4"/>
    <w:rsid w:val="00004BE2"/>
    <w:rsid w:val="0000532B"/>
    <w:rsid w:val="00005CD8"/>
    <w:rsid w:val="00006B16"/>
    <w:rsid w:val="00006DDB"/>
    <w:rsid w:val="00007A80"/>
    <w:rsid w:val="00011259"/>
    <w:rsid w:val="00011DF2"/>
    <w:rsid w:val="00012B7D"/>
    <w:rsid w:val="000136BA"/>
    <w:rsid w:val="00013701"/>
    <w:rsid w:val="000143EF"/>
    <w:rsid w:val="00014502"/>
    <w:rsid w:val="00015B19"/>
    <w:rsid w:val="00016D57"/>
    <w:rsid w:val="000177A2"/>
    <w:rsid w:val="00020054"/>
    <w:rsid w:val="00021BE1"/>
    <w:rsid w:val="000228B8"/>
    <w:rsid w:val="00024524"/>
    <w:rsid w:val="000251D3"/>
    <w:rsid w:val="000256B8"/>
    <w:rsid w:val="00025F4D"/>
    <w:rsid w:val="000263D1"/>
    <w:rsid w:val="000306D2"/>
    <w:rsid w:val="00030858"/>
    <w:rsid w:val="000311CD"/>
    <w:rsid w:val="00031AB7"/>
    <w:rsid w:val="00032EE4"/>
    <w:rsid w:val="000342AC"/>
    <w:rsid w:val="00034737"/>
    <w:rsid w:val="00034F13"/>
    <w:rsid w:val="00035044"/>
    <w:rsid w:val="00037BE7"/>
    <w:rsid w:val="0004094A"/>
    <w:rsid w:val="00042645"/>
    <w:rsid w:val="00042AB5"/>
    <w:rsid w:val="00042E14"/>
    <w:rsid w:val="000436DD"/>
    <w:rsid w:val="000448EE"/>
    <w:rsid w:val="00045290"/>
    <w:rsid w:val="00047082"/>
    <w:rsid w:val="000508EB"/>
    <w:rsid w:val="0005195C"/>
    <w:rsid w:val="00051C2B"/>
    <w:rsid w:val="00052973"/>
    <w:rsid w:val="000533E2"/>
    <w:rsid w:val="0005356D"/>
    <w:rsid w:val="00053FB6"/>
    <w:rsid w:val="00054D20"/>
    <w:rsid w:val="00055696"/>
    <w:rsid w:val="00055BC5"/>
    <w:rsid w:val="000564A6"/>
    <w:rsid w:val="000566AC"/>
    <w:rsid w:val="00057930"/>
    <w:rsid w:val="000612C2"/>
    <w:rsid w:val="0006174B"/>
    <w:rsid w:val="00063EE9"/>
    <w:rsid w:val="0006510B"/>
    <w:rsid w:val="000653C0"/>
    <w:rsid w:val="000665D0"/>
    <w:rsid w:val="00066675"/>
    <w:rsid w:val="00067BB7"/>
    <w:rsid w:val="000713E0"/>
    <w:rsid w:val="00072503"/>
    <w:rsid w:val="00074943"/>
    <w:rsid w:val="00082F62"/>
    <w:rsid w:val="00083517"/>
    <w:rsid w:val="000845E5"/>
    <w:rsid w:val="000846CA"/>
    <w:rsid w:val="00086EBA"/>
    <w:rsid w:val="00090D4B"/>
    <w:rsid w:val="00092677"/>
    <w:rsid w:val="000930EC"/>
    <w:rsid w:val="000931B5"/>
    <w:rsid w:val="00093E01"/>
    <w:rsid w:val="000945E4"/>
    <w:rsid w:val="00094A2B"/>
    <w:rsid w:val="00095033"/>
    <w:rsid w:val="00095272"/>
    <w:rsid w:val="000963FC"/>
    <w:rsid w:val="0009651B"/>
    <w:rsid w:val="00097DBF"/>
    <w:rsid w:val="000A1F68"/>
    <w:rsid w:val="000A23BA"/>
    <w:rsid w:val="000A5405"/>
    <w:rsid w:val="000A5B22"/>
    <w:rsid w:val="000A5EC9"/>
    <w:rsid w:val="000A6528"/>
    <w:rsid w:val="000A6CA0"/>
    <w:rsid w:val="000A751D"/>
    <w:rsid w:val="000B05CC"/>
    <w:rsid w:val="000B07E5"/>
    <w:rsid w:val="000B07EB"/>
    <w:rsid w:val="000B21EE"/>
    <w:rsid w:val="000B2583"/>
    <w:rsid w:val="000B2C8C"/>
    <w:rsid w:val="000B4B8E"/>
    <w:rsid w:val="000B4BA8"/>
    <w:rsid w:val="000B6C5E"/>
    <w:rsid w:val="000B6E63"/>
    <w:rsid w:val="000B7ECC"/>
    <w:rsid w:val="000C04EA"/>
    <w:rsid w:val="000C0F2B"/>
    <w:rsid w:val="000C1A86"/>
    <w:rsid w:val="000C29DD"/>
    <w:rsid w:val="000C2E9D"/>
    <w:rsid w:val="000C423F"/>
    <w:rsid w:val="000C4BC7"/>
    <w:rsid w:val="000C4FC3"/>
    <w:rsid w:val="000C6D55"/>
    <w:rsid w:val="000C7193"/>
    <w:rsid w:val="000D01D5"/>
    <w:rsid w:val="000D1B87"/>
    <w:rsid w:val="000D1DF7"/>
    <w:rsid w:val="000D253D"/>
    <w:rsid w:val="000D6324"/>
    <w:rsid w:val="000D7763"/>
    <w:rsid w:val="000D7F22"/>
    <w:rsid w:val="000E018D"/>
    <w:rsid w:val="000E0852"/>
    <w:rsid w:val="000E0CF1"/>
    <w:rsid w:val="000E2450"/>
    <w:rsid w:val="000E27D5"/>
    <w:rsid w:val="000E2FE4"/>
    <w:rsid w:val="000E3442"/>
    <w:rsid w:val="000E3895"/>
    <w:rsid w:val="000E4F22"/>
    <w:rsid w:val="000E5F80"/>
    <w:rsid w:val="000E609B"/>
    <w:rsid w:val="000E6682"/>
    <w:rsid w:val="000E6723"/>
    <w:rsid w:val="000E6C55"/>
    <w:rsid w:val="000E73ED"/>
    <w:rsid w:val="000E7B69"/>
    <w:rsid w:val="000E7DA0"/>
    <w:rsid w:val="000E7DB5"/>
    <w:rsid w:val="000F0F11"/>
    <w:rsid w:val="000F1068"/>
    <w:rsid w:val="000F20E9"/>
    <w:rsid w:val="000F22E9"/>
    <w:rsid w:val="000F3E08"/>
    <w:rsid w:val="000F4F23"/>
    <w:rsid w:val="0010074F"/>
    <w:rsid w:val="001010E8"/>
    <w:rsid w:val="001017DD"/>
    <w:rsid w:val="001018C8"/>
    <w:rsid w:val="00101EA3"/>
    <w:rsid w:val="00102EC4"/>
    <w:rsid w:val="00103042"/>
    <w:rsid w:val="00103E65"/>
    <w:rsid w:val="00104965"/>
    <w:rsid w:val="0010771A"/>
    <w:rsid w:val="001101F5"/>
    <w:rsid w:val="00110CDF"/>
    <w:rsid w:val="00111939"/>
    <w:rsid w:val="00112557"/>
    <w:rsid w:val="001129BC"/>
    <w:rsid w:val="00113169"/>
    <w:rsid w:val="0011377F"/>
    <w:rsid w:val="001139E7"/>
    <w:rsid w:val="00115317"/>
    <w:rsid w:val="001156A4"/>
    <w:rsid w:val="0011623A"/>
    <w:rsid w:val="00117B48"/>
    <w:rsid w:val="001218AD"/>
    <w:rsid w:val="00122DD8"/>
    <w:rsid w:val="00124114"/>
    <w:rsid w:val="00124185"/>
    <w:rsid w:val="00124AB1"/>
    <w:rsid w:val="001274FF"/>
    <w:rsid w:val="00130048"/>
    <w:rsid w:val="00131516"/>
    <w:rsid w:val="00131F58"/>
    <w:rsid w:val="00132E2E"/>
    <w:rsid w:val="00133FE6"/>
    <w:rsid w:val="00134278"/>
    <w:rsid w:val="00134DCC"/>
    <w:rsid w:val="00135E96"/>
    <w:rsid w:val="00136896"/>
    <w:rsid w:val="00137266"/>
    <w:rsid w:val="001378B3"/>
    <w:rsid w:val="00140037"/>
    <w:rsid w:val="00140150"/>
    <w:rsid w:val="00140313"/>
    <w:rsid w:val="001406F3"/>
    <w:rsid w:val="00142B56"/>
    <w:rsid w:val="001448F0"/>
    <w:rsid w:val="00144B2A"/>
    <w:rsid w:val="00144E95"/>
    <w:rsid w:val="00145F60"/>
    <w:rsid w:val="00146ED5"/>
    <w:rsid w:val="001474B4"/>
    <w:rsid w:val="00147C32"/>
    <w:rsid w:val="00151417"/>
    <w:rsid w:val="001602BB"/>
    <w:rsid w:val="00160A61"/>
    <w:rsid w:val="00160E88"/>
    <w:rsid w:val="001634D6"/>
    <w:rsid w:val="00163BC4"/>
    <w:rsid w:val="00164A9F"/>
    <w:rsid w:val="00164FAE"/>
    <w:rsid w:val="0016623B"/>
    <w:rsid w:val="00171366"/>
    <w:rsid w:val="001721A3"/>
    <w:rsid w:val="00172A7A"/>
    <w:rsid w:val="00172B21"/>
    <w:rsid w:val="0017310E"/>
    <w:rsid w:val="00175D82"/>
    <w:rsid w:val="00176594"/>
    <w:rsid w:val="001767F9"/>
    <w:rsid w:val="00176943"/>
    <w:rsid w:val="00176B15"/>
    <w:rsid w:val="001778CB"/>
    <w:rsid w:val="001807D0"/>
    <w:rsid w:val="00181491"/>
    <w:rsid w:val="001829E3"/>
    <w:rsid w:val="001839B7"/>
    <w:rsid w:val="001844D9"/>
    <w:rsid w:val="00184B14"/>
    <w:rsid w:val="00184D7B"/>
    <w:rsid w:val="00186901"/>
    <w:rsid w:val="00187307"/>
    <w:rsid w:val="00187D5B"/>
    <w:rsid w:val="001900AF"/>
    <w:rsid w:val="00191C50"/>
    <w:rsid w:val="00191F3B"/>
    <w:rsid w:val="00192360"/>
    <w:rsid w:val="00193DC2"/>
    <w:rsid w:val="00194604"/>
    <w:rsid w:val="00195149"/>
    <w:rsid w:val="00195DE1"/>
    <w:rsid w:val="001965F9"/>
    <w:rsid w:val="00196661"/>
    <w:rsid w:val="00196959"/>
    <w:rsid w:val="001969F4"/>
    <w:rsid w:val="00197C74"/>
    <w:rsid w:val="00197FD7"/>
    <w:rsid w:val="001A056C"/>
    <w:rsid w:val="001A2238"/>
    <w:rsid w:val="001A2F4B"/>
    <w:rsid w:val="001A30D0"/>
    <w:rsid w:val="001A4B76"/>
    <w:rsid w:val="001A6562"/>
    <w:rsid w:val="001A7E19"/>
    <w:rsid w:val="001B11CE"/>
    <w:rsid w:val="001B15FA"/>
    <w:rsid w:val="001B1961"/>
    <w:rsid w:val="001B1BFF"/>
    <w:rsid w:val="001B20FB"/>
    <w:rsid w:val="001B5427"/>
    <w:rsid w:val="001B5DAB"/>
    <w:rsid w:val="001B6B1D"/>
    <w:rsid w:val="001B6D07"/>
    <w:rsid w:val="001B7E22"/>
    <w:rsid w:val="001C06EF"/>
    <w:rsid w:val="001C2E7B"/>
    <w:rsid w:val="001C3EA1"/>
    <w:rsid w:val="001C3FFF"/>
    <w:rsid w:val="001C5216"/>
    <w:rsid w:val="001C5729"/>
    <w:rsid w:val="001C59B1"/>
    <w:rsid w:val="001C5F01"/>
    <w:rsid w:val="001C719A"/>
    <w:rsid w:val="001C7FB8"/>
    <w:rsid w:val="001D093F"/>
    <w:rsid w:val="001D14C9"/>
    <w:rsid w:val="001D1733"/>
    <w:rsid w:val="001D1874"/>
    <w:rsid w:val="001D18D7"/>
    <w:rsid w:val="001D28E3"/>
    <w:rsid w:val="001D2ED8"/>
    <w:rsid w:val="001D2F1A"/>
    <w:rsid w:val="001D372B"/>
    <w:rsid w:val="001D3F85"/>
    <w:rsid w:val="001D43D4"/>
    <w:rsid w:val="001D479A"/>
    <w:rsid w:val="001D6421"/>
    <w:rsid w:val="001D7FC6"/>
    <w:rsid w:val="001E0970"/>
    <w:rsid w:val="001E162B"/>
    <w:rsid w:val="001E2299"/>
    <w:rsid w:val="001E24A4"/>
    <w:rsid w:val="001E266B"/>
    <w:rsid w:val="001E3DBB"/>
    <w:rsid w:val="001E504D"/>
    <w:rsid w:val="001E55F7"/>
    <w:rsid w:val="001E63ED"/>
    <w:rsid w:val="001E6487"/>
    <w:rsid w:val="001E749F"/>
    <w:rsid w:val="001F0929"/>
    <w:rsid w:val="001F096D"/>
    <w:rsid w:val="001F0D95"/>
    <w:rsid w:val="001F3371"/>
    <w:rsid w:val="001F393D"/>
    <w:rsid w:val="001F3A46"/>
    <w:rsid w:val="001F4648"/>
    <w:rsid w:val="001F5D2A"/>
    <w:rsid w:val="001F769D"/>
    <w:rsid w:val="00203CC0"/>
    <w:rsid w:val="00204714"/>
    <w:rsid w:val="002062F8"/>
    <w:rsid w:val="00206E1A"/>
    <w:rsid w:val="00207A6E"/>
    <w:rsid w:val="00207C61"/>
    <w:rsid w:val="0021093A"/>
    <w:rsid w:val="00211139"/>
    <w:rsid w:val="00211873"/>
    <w:rsid w:val="00211C7A"/>
    <w:rsid w:val="00212968"/>
    <w:rsid w:val="00213943"/>
    <w:rsid w:val="00214A0E"/>
    <w:rsid w:val="00214F36"/>
    <w:rsid w:val="0021531C"/>
    <w:rsid w:val="00216E7F"/>
    <w:rsid w:val="00216F7C"/>
    <w:rsid w:val="002175B0"/>
    <w:rsid w:val="00217740"/>
    <w:rsid w:val="00217D13"/>
    <w:rsid w:val="0022066D"/>
    <w:rsid w:val="00221AA5"/>
    <w:rsid w:val="0022292E"/>
    <w:rsid w:val="00222AF0"/>
    <w:rsid w:val="00223B9A"/>
    <w:rsid w:val="00224A2A"/>
    <w:rsid w:val="002250B5"/>
    <w:rsid w:val="002259BB"/>
    <w:rsid w:val="0022794C"/>
    <w:rsid w:val="00227C78"/>
    <w:rsid w:val="00230CAE"/>
    <w:rsid w:val="00231029"/>
    <w:rsid w:val="00231402"/>
    <w:rsid w:val="0023223C"/>
    <w:rsid w:val="00232273"/>
    <w:rsid w:val="00233AEC"/>
    <w:rsid w:val="00233D1E"/>
    <w:rsid w:val="00234272"/>
    <w:rsid w:val="00235623"/>
    <w:rsid w:val="002371A9"/>
    <w:rsid w:val="00240370"/>
    <w:rsid w:val="00241B7B"/>
    <w:rsid w:val="00242AD3"/>
    <w:rsid w:val="00244377"/>
    <w:rsid w:val="00244F84"/>
    <w:rsid w:val="002455FE"/>
    <w:rsid w:val="00245B12"/>
    <w:rsid w:val="00245E67"/>
    <w:rsid w:val="002467FC"/>
    <w:rsid w:val="00250A11"/>
    <w:rsid w:val="00250CFA"/>
    <w:rsid w:val="00250E57"/>
    <w:rsid w:val="00251FB4"/>
    <w:rsid w:val="002537C2"/>
    <w:rsid w:val="002538AC"/>
    <w:rsid w:val="00253A1D"/>
    <w:rsid w:val="00253B34"/>
    <w:rsid w:val="00253D5A"/>
    <w:rsid w:val="0025453C"/>
    <w:rsid w:val="0025569A"/>
    <w:rsid w:val="00257D05"/>
    <w:rsid w:val="00260E57"/>
    <w:rsid w:val="002610FB"/>
    <w:rsid w:val="002624D4"/>
    <w:rsid w:val="00262AEC"/>
    <w:rsid w:val="002636EC"/>
    <w:rsid w:val="002664CE"/>
    <w:rsid w:val="0026758B"/>
    <w:rsid w:val="0026766F"/>
    <w:rsid w:val="002700A0"/>
    <w:rsid w:val="0027152C"/>
    <w:rsid w:val="00272857"/>
    <w:rsid w:val="00273DB1"/>
    <w:rsid w:val="00275C33"/>
    <w:rsid w:val="00275D27"/>
    <w:rsid w:val="00275E3B"/>
    <w:rsid w:val="00275EF4"/>
    <w:rsid w:val="00276EC5"/>
    <w:rsid w:val="00283AA3"/>
    <w:rsid w:val="00283CA5"/>
    <w:rsid w:val="00283CC5"/>
    <w:rsid w:val="0028533B"/>
    <w:rsid w:val="00285E95"/>
    <w:rsid w:val="002867B1"/>
    <w:rsid w:val="002871EE"/>
    <w:rsid w:val="00287D58"/>
    <w:rsid w:val="002908B6"/>
    <w:rsid w:val="00290E3E"/>
    <w:rsid w:val="00290FD3"/>
    <w:rsid w:val="0029101D"/>
    <w:rsid w:val="00291EC2"/>
    <w:rsid w:val="0029290C"/>
    <w:rsid w:val="00292FC1"/>
    <w:rsid w:val="00293496"/>
    <w:rsid w:val="00296594"/>
    <w:rsid w:val="00296964"/>
    <w:rsid w:val="00297CAE"/>
    <w:rsid w:val="002A1930"/>
    <w:rsid w:val="002A33C1"/>
    <w:rsid w:val="002A3F74"/>
    <w:rsid w:val="002A5894"/>
    <w:rsid w:val="002A6497"/>
    <w:rsid w:val="002A7181"/>
    <w:rsid w:val="002A72E0"/>
    <w:rsid w:val="002B008C"/>
    <w:rsid w:val="002B0EF8"/>
    <w:rsid w:val="002B2BBC"/>
    <w:rsid w:val="002B41A1"/>
    <w:rsid w:val="002B4757"/>
    <w:rsid w:val="002B52B4"/>
    <w:rsid w:val="002B6497"/>
    <w:rsid w:val="002B6A44"/>
    <w:rsid w:val="002B70CF"/>
    <w:rsid w:val="002B71A6"/>
    <w:rsid w:val="002B7A69"/>
    <w:rsid w:val="002C0009"/>
    <w:rsid w:val="002C22CF"/>
    <w:rsid w:val="002C2325"/>
    <w:rsid w:val="002C263F"/>
    <w:rsid w:val="002C29B2"/>
    <w:rsid w:val="002C2C0B"/>
    <w:rsid w:val="002C2E5E"/>
    <w:rsid w:val="002C458D"/>
    <w:rsid w:val="002C4BDE"/>
    <w:rsid w:val="002C5715"/>
    <w:rsid w:val="002C60FF"/>
    <w:rsid w:val="002C7205"/>
    <w:rsid w:val="002C7251"/>
    <w:rsid w:val="002C7E8E"/>
    <w:rsid w:val="002C7EEC"/>
    <w:rsid w:val="002D0448"/>
    <w:rsid w:val="002D1CC2"/>
    <w:rsid w:val="002D23EE"/>
    <w:rsid w:val="002D366A"/>
    <w:rsid w:val="002D3995"/>
    <w:rsid w:val="002D4A61"/>
    <w:rsid w:val="002D6491"/>
    <w:rsid w:val="002D74B1"/>
    <w:rsid w:val="002D7A31"/>
    <w:rsid w:val="002E0206"/>
    <w:rsid w:val="002E0730"/>
    <w:rsid w:val="002E1428"/>
    <w:rsid w:val="002E19A0"/>
    <w:rsid w:val="002E1BE5"/>
    <w:rsid w:val="002E3E6A"/>
    <w:rsid w:val="002E4BA0"/>
    <w:rsid w:val="002E5238"/>
    <w:rsid w:val="002E6178"/>
    <w:rsid w:val="002E72CA"/>
    <w:rsid w:val="002F0244"/>
    <w:rsid w:val="002F1918"/>
    <w:rsid w:val="002F19CF"/>
    <w:rsid w:val="002F1AA5"/>
    <w:rsid w:val="002F2492"/>
    <w:rsid w:val="002F298F"/>
    <w:rsid w:val="002F41C3"/>
    <w:rsid w:val="002F48F7"/>
    <w:rsid w:val="002F658F"/>
    <w:rsid w:val="002F6719"/>
    <w:rsid w:val="002F6F91"/>
    <w:rsid w:val="002F7536"/>
    <w:rsid w:val="002F7B14"/>
    <w:rsid w:val="003009E1"/>
    <w:rsid w:val="00300ED9"/>
    <w:rsid w:val="00301D9E"/>
    <w:rsid w:val="00302303"/>
    <w:rsid w:val="0030295F"/>
    <w:rsid w:val="00302E15"/>
    <w:rsid w:val="00305343"/>
    <w:rsid w:val="00305D4A"/>
    <w:rsid w:val="00306272"/>
    <w:rsid w:val="00307625"/>
    <w:rsid w:val="00312345"/>
    <w:rsid w:val="00312CE0"/>
    <w:rsid w:val="00313B61"/>
    <w:rsid w:val="00313F83"/>
    <w:rsid w:val="003145CA"/>
    <w:rsid w:val="00314685"/>
    <w:rsid w:val="00314ADC"/>
    <w:rsid w:val="00314F22"/>
    <w:rsid w:val="003151DD"/>
    <w:rsid w:val="00315584"/>
    <w:rsid w:val="0031578B"/>
    <w:rsid w:val="00315EE2"/>
    <w:rsid w:val="00320950"/>
    <w:rsid w:val="0032125F"/>
    <w:rsid w:val="00321E03"/>
    <w:rsid w:val="00321F7F"/>
    <w:rsid w:val="00322707"/>
    <w:rsid w:val="00324E7F"/>
    <w:rsid w:val="003263CE"/>
    <w:rsid w:val="00330BEF"/>
    <w:rsid w:val="003334D4"/>
    <w:rsid w:val="00333E4A"/>
    <w:rsid w:val="00333F12"/>
    <w:rsid w:val="003355B2"/>
    <w:rsid w:val="003372B8"/>
    <w:rsid w:val="003414E7"/>
    <w:rsid w:val="003416D2"/>
    <w:rsid w:val="003429BA"/>
    <w:rsid w:val="003433A2"/>
    <w:rsid w:val="003433E1"/>
    <w:rsid w:val="00345926"/>
    <w:rsid w:val="003462FE"/>
    <w:rsid w:val="00351C0E"/>
    <w:rsid w:val="00353419"/>
    <w:rsid w:val="003537CE"/>
    <w:rsid w:val="003545AC"/>
    <w:rsid w:val="00355E25"/>
    <w:rsid w:val="00357F7B"/>
    <w:rsid w:val="003609DF"/>
    <w:rsid w:val="00360F96"/>
    <w:rsid w:val="00362283"/>
    <w:rsid w:val="00362E94"/>
    <w:rsid w:val="0036392F"/>
    <w:rsid w:val="00364353"/>
    <w:rsid w:val="00364954"/>
    <w:rsid w:val="0036654E"/>
    <w:rsid w:val="003674CC"/>
    <w:rsid w:val="00367689"/>
    <w:rsid w:val="00370142"/>
    <w:rsid w:val="00370D0C"/>
    <w:rsid w:val="00370E2E"/>
    <w:rsid w:val="00371410"/>
    <w:rsid w:val="0037336D"/>
    <w:rsid w:val="00373686"/>
    <w:rsid w:val="003737FA"/>
    <w:rsid w:val="00373EF9"/>
    <w:rsid w:val="0037410A"/>
    <w:rsid w:val="00374291"/>
    <w:rsid w:val="00374AF1"/>
    <w:rsid w:val="00374F8A"/>
    <w:rsid w:val="00376BEA"/>
    <w:rsid w:val="00377101"/>
    <w:rsid w:val="0037784F"/>
    <w:rsid w:val="00377B56"/>
    <w:rsid w:val="00377C6A"/>
    <w:rsid w:val="0038091A"/>
    <w:rsid w:val="0038291C"/>
    <w:rsid w:val="00382B8F"/>
    <w:rsid w:val="0038329A"/>
    <w:rsid w:val="00384130"/>
    <w:rsid w:val="0038413C"/>
    <w:rsid w:val="00384E6C"/>
    <w:rsid w:val="00386E61"/>
    <w:rsid w:val="003901E6"/>
    <w:rsid w:val="00391254"/>
    <w:rsid w:val="00391A80"/>
    <w:rsid w:val="00392D95"/>
    <w:rsid w:val="00394660"/>
    <w:rsid w:val="00394E15"/>
    <w:rsid w:val="00395173"/>
    <w:rsid w:val="003955C7"/>
    <w:rsid w:val="00395688"/>
    <w:rsid w:val="00395FA7"/>
    <w:rsid w:val="00396126"/>
    <w:rsid w:val="00397570"/>
    <w:rsid w:val="00397770"/>
    <w:rsid w:val="003A02BA"/>
    <w:rsid w:val="003A13EA"/>
    <w:rsid w:val="003A33C8"/>
    <w:rsid w:val="003A39E3"/>
    <w:rsid w:val="003A5150"/>
    <w:rsid w:val="003A5DAF"/>
    <w:rsid w:val="003A7384"/>
    <w:rsid w:val="003A79AA"/>
    <w:rsid w:val="003A7B42"/>
    <w:rsid w:val="003B098A"/>
    <w:rsid w:val="003B14C0"/>
    <w:rsid w:val="003B1F0B"/>
    <w:rsid w:val="003B25EA"/>
    <w:rsid w:val="003B2A28"/>
    <w:rsid w:val="003B55EB"/>
    <w:rsid w:val="003C1D61"/>
    <w:rsid w:val="003C2411"/>
    <w:rsid w:val="003C377C"/>
    <w:rsid w:val="003C4263"/>
    <w:rsid w:val="003C4A5D"/>
    <w:rsid w:val="003C6834"/>
    <w:rsid w:val="003C6CF8"/>
    <w:rsid w:val="003C7973"/>
    <w:rsid w:val="003C79F3"/>
    <w:rsid w:val="003C7E34"/>
    <w:rsid w:val="003D2581"/>
    <w:rsid w:val="003D33F7"/>
    <w:rsid w:val="003D3425"/>
    <w:rsid w:val="003D3AB5"/>
    <w:rsid w:val="003D4331"/>
    <w:rsid w:val="003D4669"/>
    <w:rsid w:val="003D4E16"/>
    <w:rsid w:val="003D5DC7"/>
    <w:rsid w:val="003D5E24"/>
    <w:rsid w:val="003D6362"/>
    <w:rsid w:val="003E009C"/>
    <w:rsid w:val="003E289C"/>
    <w:rsid w:val="003E34D3"/>
    <w:rsid w:val="003E3EFB"/>
    <w:rsid w:val="003E431A"/>
    <w:rsid w:val="003E4B51"/>
    <w:rsid w:val="003E76D3"/>
    <w:rsid w:val="003E79D6"/>
    <w:rsid w:val="003F16B4"/>
    <w:rsid w:val="003F16D2"/>
    <w:rsid w:val="003F28F0"/>
    <w:rsid w:val="003F2CBD"/>
    <w:rsid w:val="003F3426"/>
    <w:rsid w:val="003F357C"/>
    <w:rsid w:val="003F4A37"/>
    <w:rsid w:val="003F55FD"/>
    <w:rsid w:val="003F5AC4"/>
    <w:rsid w:val="003F5AC6"/>
    <w:rsid w:val="003F612D"/>
    <w:rsid w:val="003F63A2"/>
    <w:rsid w:val="00400905"/>
    <w:rsid w:val="00401708"/>
    <w:rsid w:val="0040170E"/>
    <w:rsid w:val="00403214"/>
    <w:rsid w:val="0040605E"/>
    <w:rsid w:val="004068A0"/>
    <w:rsid w:val="0040691D"/>
    <w:rsid w:val="00406D66"/>
    <w:rsid w:val="004074AE"/>
    <w:rsid w:val="0040777A"/>
    <w:rsid w:val="004103F2"/>
    <w:rsid w:val="00410694"/>
    <w:rsid w:val="00410872"/>
    <w:rsid w:val="00410B4C"/>
    <w:rsid w:val="0041269A"/>
    <w:rsid w:val="00412E20"/>
    <w:rsid w:val="00414A00"/>
    <w:rsid w:val="00415504"/>
    <w:rsid w:val="00416050"/>
    <w:rsid w:val="00416199"/>
    <w:rsid w:val="00417572"/>
    <w:rsid w:val="00417612"/>
    <w:rsid w:val="0042154A"/>
    <w:rsid w:val="00421AA3"/>
    <w:rsid w:val="004220CD"/>
    <w:rsid w:val="004221E4"/>
    <w:rsid w:val="004229BF"/>
    <w:rsid w:val="0042499A"/>
    <w:rsid w:val="00424D39"/>
    <w:rsid w:val="00426037"/>
    <w:rsid w:val="00426AD5"/>
    <w:rsid w:val="00426C63"/>
    <w:rsid w:val="004306F8"/>
    <w:rsid w:val="00432529"/>
    <w:rsid w:val="00432698"/>
    <w:rsid w:val="00432C06"/>
    <w:rsid w:val="00432CA6"/>
    <w:rsid w:val="00433588"/>
    <w:rsid w:val="00433661"/>
    <w:rsid w:val="00433F7E"/>
    <w:rsid w:val="00434002"/>
    <w:rsid w:val="0043508F"/>
    <w:rsid w:val="004357F4"/>
    <w:rsid w:val="004404D5"/>
    <w:rsid w:val="00440920"/>
    <w:rsid w:val="00440F1A"/>
    <w:rsid w:val="00441C6A"/>
    <w:rsid w:val="00443895"/>
    <w:rsid w:val="00443EF6"/>
    <w:rsid w:val="0044400C"/>
    <w:rsid w:val="00444BB2"/>
    <w:rsid w:val="004464E3"/>
    <w:rsid w:val="0044666E"/>
    <w:rsid w:val="004471D9"/>
    <w:rsid w:val="00450F16"/>
    <w:rsid w:val="004511D0"/>
    <w:rsid w:val="00451599"/>
    <w:rsid w:val="004518C5"/>
    <w:rsid w:val="00451EA8"/>
    <w:rsid w:val="00452E1E"/>
    <w:rsid w:val="004531AA"/>
    <w:rsid w:val="00453784"/>
    <w:rsid w:val="00453E3A"/>
    <w:rsid w:val="004549DD"/>
    <w:rsid w:val="0045556E"/>
    <w:rsid w:val="00455B12"/>
    <w:rsid w:val="00455F5D"/>
    <w:rsid w:val="00457827"/>
    <w:rsid w:val="00457BFA"/>
    <w:rsid w:val="004601A5"/>
    <w:rsid w:val="0046066C"/>
    <w:rsid w:val="00460783"/>
    <w:rsid w:val="00460E18"/>
    <w:rsid w:val="0046243F"/>
    <w:rsid w:val="004633B1"/>
    <w:rsid w:val="00463C25"/>
    <w:rsid w:val="00464820"/>
    <w:rsid w:val="00467183"/>
    <w:rsid w:val="004674A3"/>
    <w:rsid w:val="00467C38"/>
    <w:rsid w:val="00471C0F"/>
    <w:rsid w:val="00473007"/>
    <w:rsid w:val="00473973"/>
    <w:rsid w:val="004763D5"/>
    <w:rsid w:val="0047690E"/>
    <w:rsid w:val="00476FB2"/>
    <w:rsid w:val="00477630"/>
    <w:rsid w:val="0048053E"/>
    <w:rsid w:val="00480F71"/>
    <w:rsid w:val="0048118B"/>
    <w:rsid w:val="00481AB0"/>
    <w:rsid w:val="00481B1F"/>
    <w:rsid w:val="0048333B"/>
    <w:rsid w:val="00483CE1"/>
    <w:rsid w:val="00483D14"/>
    <w:rsid w:val="00483F7B"/>
    <w:rsid w:val="0048400A"/>
    <w:rsid w:val="00484BC4"/>
    <w:rsid w:val="00484EF0"/>
    <w:rsid w:val="00485DE7"/>
    <w:rsid w:val="00486176"/>
    <w:rsid w:val="00486FA0"/>
    <w:rsid w:val="00490034"/>
    <w:rsid w:val="00492F98"/>
    <w:rsid w:val="004933C5"/>
    <w:rsid w:val="00493DEE"/>
    <w:rsid w:val="00494C4A"/>
    <w:rsid w:val="004960CD"/>
    <w:rsid w:val="00496157"/>
    <w:rsid w:val="00496709"/>
    <w:rsid w:val="0049709F"/>
    <w:rsid w:val="00497D15"/>
    <w:rsid w:val="004A39C8"/>
    <w:rsid w:val="004A3E52"/>
    <w:rsid w:val="004A4ED7"/>
    <w:rsid w:val="004A5552"/>
    <w:rsid w:val="004A58FC"/>
    <w:rsid w:val="004A5CA0"/>
    <w:rsid w:val="004A6EB6"/>
    <w:rsid w:val="004A6F85"/>
    <w:rsid w:val="004A7455"/>
    <w:rsid w:val="004B096D"/>
    <w:rsid w:val="004B1F2B"/>
    <w:rsid w:val="004B4F18"/>
    <w:rsid w:val="004B7915"/>
    <w:rsid w:val="004C017A"/>
    <w:rsid w:val="004C0307"/>
    <w:rsid w:val="004C1F5B"/>
    <w:rsid w:val="004C2AA2"/>
    <w:rsid w:val="004C5019"/>
    <w:rsid w:val="004C5040"/>
    <w:rsid w:val="004C604E"/>
    <w:rsid w:val="004C7359"/>
    <w:rsid w:val="004C7A1C"/>
    <w:rsid w:val="004C7CB4"/>
    <w:rsid w:val="004D1D29"/>
    <w:rsid w:val="004D1DC3"/>
    <w:rsid w:val="004D1EBF"/>
    <w:rsid w:val="004D25E3"/>
    <w:rsid w:val="004D28F8"/>
    <w:rsid w:val="004D32C7"/>
    <w:rsid w:val="004D3D1E"/>
    <w:rsid w:val="004D4059"/>
    <w:rsid w:val="004D48FD"/>
    <w:rsid w:val="004D4A4D"/>
    <w:rsid w:val="004D64CD"/>
    <w:rsid w:val="004D693A"/>
    <w:rsid w:val="004D6A9D"/>
    <w:rsid w:val="004D746A"/>
    <w:rsid w:val="004D76D9"/>
    <w:rsid w:val="004D7A6F"/>
    <w:rsid w:val="004D7D87"/>
    <w:rsid w:val="004E2CCF"/>
    <w:rsid w:val="004E311A"/>
    <w:rsid w:val="004E399F"/>
    <w:rsid w:val="004E49BA"/>
    <w:rsid w:val="004E4FF8"/>
    <w:rsid w:val="004E5448"/>
    <w:rsid w:val="004E60F8"/>
    <w:rsid w:val="004E7BBE"/>
    <w:rsid w:val="004F09FF"/>
    <w:rsid w:val="004F1A7D"/>
    <w:rsid w:val="004F1AEF"/>
    <w:rsid w:val="004F1F4E"/>
    <w:rsid w:val="004F276B"/>
    <w:rsid w:val="004F37F5"/>
    <w:rsid w:val="004F475A"/>
    <w:rsid w:val="004F610D"/>
    <w:rsid w:val="004F6488"/>
    <w:rsid w:val="004F6D36"/>
    <w:rsid w:val="004F6E85"/>
    <w:rsid w:val="004F72C2"/>
    <w:rsid w:val="004F77FF"/>
    <w:rsid w:val="005007E9"/>
    <w:rsid w:val="00500CBE"/>
    <w:rsid w:val="00501258"/>
    <w:rsid w:val="00502439"/>
    <w:rsid w:val="005033FF"/>
    <w:rsid w:val="0050417E"/>
    <w:rsid w:val="00505C07"/>
    <w:rsid w:val="00510EDB"/>
    <w:rsid w:val="0051147B"/>
    <w:rsid w:val="00511DAA"/>
    <w:rsid w:val="00512222"/>
    <w:rsid w:val="0051374F"/>
    <w:rsid w:val="00513828"/>
    <w:rsid w:val="0051485D"/>
    <w:rsid w:val="00514C0E"/>
    <w:rsid w:val="00514EF5"/>
    <w:rsid w:val="005156F9"/>
    <w:rsid w:val="00515CE1"/>
    <w:rsid w:val="0051632F"/>
    <w:rsid w:val="00516532"/>
    <w:rsid w:val="005174A6"/>
    <w:rsid w:val="005174CF"/>
    <w:rsid w:val="005176DC"/>
    <w:rsid w:val="0052002A"/>
    <w:rsid w:val="00521B45"/>
    <w:rsid w:val="00524D2B"/>
    <w:rsid w:val="00525BA2"/>
    <w:rsid w:val="00525C42"/>
    <w:rsid w:val="00527004"/>
    <w:rsid w:val="005304B2"/>
    <w:rsid w:val="0053071C"/>
    <w:rsid w:val="005318A1"/>
    <w:rsid w:val="00531ADA"/>
    <w:rsid w:val="00531CB6"/>
    <w:rsid w:val="00532828"/>
    <w:rsid w:val="00532FA5"/>
    <w:rsid w:val="00534844"/>
    <w:rsid w:val="00534AFE"/>
    <w:rsid w:val="00536961"/>
    <w:rsid w:val="005402B8"/>
    <w:rsid w:val="0054053A"/>
    <w:rsid w:val="00540810"/>
    <w:rsid w:val="00540CBF"/>
    <w:rsid w:val="00541616"/>
    <w:rsid w:val="005425DB"/>
    <w:rsid w:val="00544B64"/>
    <w:rsid w:val="00545A14"/>
    <w:rsid w:val="00546EF2"/>
    <w:rsid w:val="005475BA"/>
    <w:rsid w:val="00547FBD"/>
    <w:rsid w:val="00550E0A"/>
    <w:rsid w:val="0055234A"/>
    <w:rsid w:val="00553195"/>
    <w:rsid w:val="005539D3"/>
    <w:rsid w:val="005546C1"/>
    <w:rsid w:val="005570E6"/>
    <w:rsid w:val="00557F55"/>
    <w:rsid w:val="00560091"/>
    <w:rsid w:val="00560CAA"/>
    <w:rsid w:val="00562741"/>
    <w:rsid w:val="00562FE6"/>
    <w:rsid w:val="005631F5"/>
    <w:rsid w:val="00563EFC"/>
    <w:rsid w:val="00564CEC"/>
    <w:rsid w:val="00565E66"/>
    <w:rsid w:val="00567D6D"/>
    <w:rsid w:val="005702AF"/>
    <w:rsid w:val="00571DAD"/>
    <w:rsid w:val="00572072"/>
    <w:rsid w:val="00572A5E"/>
    <w:rsid w:val="00574467"/>
    <w:rsid w:val="005745F7"/>
    <w:rsid w:val="00574667"/>
    <w:rsid w:val="00576BB3"/>
    <w:rsid w:val="005815FE"/>
    <w:rsid w:val="005828F8"/>
    <w:rsid w:val="00582F0C"/>
    <w:rsid w:val="0058658E"/>
    <w:rsid w:val="005866F8"/>
    <w:rsid w:val="005867FC"/>
    <w:rsid w:val="00586A65"/>
    <w:rsid w:val="00586AD7"/>
    <w:rsid w:val="0059124B"/>
    <w:rsid w:val="00592671"/>
    <w:rsid w:val="00592A2A"/>
    <w:rsid w:val="00592C34"/>
    <w:rsid w:val="00593F1A"/>
    <w:rsid w:val="0059564C"/>
    <w:rsid w:val="005958E2"/>
    <w:rsid w:val="005A182E"/>
    <w:rsid w:val="005A3D45"/>
    <w:rsid w:val="005A4638"/>
    <w:rsid w:val="005A4CC6"/>
    <w:rsid w:val="005A60E9"/>
    <w:rsid w:val="005A65FB"/>
    <w:rsid w:val="005B0024"/>
    <w:rsid w:val="005B0972"/>
    <w:rsid w:val="005B0F68"/>
    <w:rsid w:val="005B2329"/>
    <w:rsid w:val="005B3165"/>
    <w:rsid w:val="005B44D6"/>
    <w:rsid w:val="005B5040"/>
    <w:rsid w:val="005B5B4D"/>
    <w:rsid w:val="005B70A5"/>
    <w:rsid w:val="005B79B1"/>
    <w:rsid w:val="005B7A86"/>
    <w:rsid w:val="005B7CB2"/>
    <w:rsid w:val="005C0EE0"/>
    <w:rsid w:val="005C31A1"/>
    <w:rsid w:val="005C3B70"/>
    <w:rsid w:val="005C6944"/>
    <w:rsid w:val="005C7363"/>
    <w:rsid w:val="005C79C5"/>
    <w:rsid w:val="005C7B81"/>
    <w:rsid w:val="005D13D3"/>
    <w:rsid w:val="005D19AC"/>
    <w:rsid w:val="005D1A04"/>
    <w:rsid w:val="005D2C47"/>
    <w:rsid w:val="005D3CDD"/>
    <w:rsid w:val="005D53C3"/>
    <w:rsid w:val="005D5423"/>
    <w:rsid w:val="005D671C"/>
    <w:rsid w:val="005D7750"/>
    <w:rsid w:val="005D793F"/>
    <w:rsid w:val="005E032E"/>
    <w:rsid w:val="005E1968"/>
    <w:rsid w:val="005E21C0"/>
    <w:rsid w:val="005E2BB0"/>
    <w:rsid w:val="005E313E"/>
    <w:rsid w:val="005E326E"/>
    <w:rsid w:val="005E32BD"/>
    <w:rsid w:val="005E47BE"/>
    <w:rsid w:val="005F1956"/>
    <w:rsid w:val="005F3DA4"/>
    <w:rsid w:val="005F5A1D"/>
    <w:rsid w:val="005F5AC2"/>
    <w:rsid w:val="005F5F2B"/>
    <w:rsid w:val="005F79F6"/>
    <w:rsid w:val="005F7D4B"/>
    <w:rsid w:val="00601BF3"/>
    <w:rsid w:val="00602AE1"/>
    <w:rsid w:val="00603126"/>
    <w:rsid w:val="00603257"/>
    <w:rsid w:val="006032A0"/>
    <w:rsid w:val="00604A5A"/>
    <w:rsid w:val="00604C36"/>
    <w:rsid w:val="006052C4"/>
    <w:rsid w:val="00605949"/>
    <w:rsid w:val="0060722D"/>
    <w:rsid w:val="0061089C"/>
    <w:rsid w:val="00610E21"/>
    <w:rsid w:val="00611539"/>
    <w:rsid w:val="00611F7A"/>
    <w:rsid w:val="006123B7"/>
    <w:rsid w:val="00612C7B"/>
    <w:rsid w:val="00613498"/>
    <w:rsid w:val="00614ED5"/>
    <w:rsid w:val="00615FF5"/>
    <w:rsid w:val="00616310"/>
    <w:rsid w:val="006167D5"/>
    <w:rsid w:val="0061784D"/>
    <w:rsid w:val="00620634"/>
    <w:rsid w:val="0062193B"/>
    <w:rsid w:val="00622ECF"/>
    <w:rsid w:val="006234AF"/>
    <w:rsid w:val="00623605"/>
    <w:rsid w:val="00623722"/>
    <w:rsid w:val="006247E5"/>
    <w:rsid w:val="00624F2D"/>
    <w:rsid w:val="00625D64"/>
    <w:rsid w:val="00625F27"/>
    <w:rsid w:val="00626987"/>
    <w:rsid w:val="00627D12"/>
    <w:rsid w:val="006300F9"/>
    <w:rsid w:val="00630C09"/>
    <w:rsid w:val="00632E3E"/>
    <w:rsid w:val="00633000"/>
    <w:rsid w:val="00633559"/>
    <w:rsid w:val="0063387B"/>
    <w:rsid w:val="00634D51"/>
    <w:rsid w:val="0063502F"/>
    <w:rsid w:val="0063554F"/>
    <w:rsid w:val="0063629F"/>
    <w:rsid w:val="00637711"/>
    <w:rsid w:val="0064025D"/>
    <w:rsid w:val="00641213"/>
    <w:rsid w:val="00642580"/>
    <w:rsid w:val="006425E1"/>
    <w:rsid w:val="00643445"/>
    <w:rsid w:val="006436AA"/>
    <w:rsid w:val="00645387"/>
    <w:rsid w:val="00645836"/>
    <w:rsid w:val="006458AF"/>
    <w:rsid w:val="006467EA"/>
    <w:rsid w:val="006468D4"/>
    <w:rsid w:val="00647917"/>
    <w:rsid w:val="00647A50"/>
    <w:rsid w:val="00647F30"/>
    <w:rsid w:val="00650EC8"/>
    <w:rsid w:val="00650F19"/>
    <w:rsid w:val="00650FFA"/>
    <w:rsid w:val="00652CA0"/>
    <w:rsid w:val="0065309B"/>
    <w:rsid w:val="00654D14"/>
    <w:rsid w:val="00656693"/>
    <w:rsid w:val="00657251"/>
    <w:rsid w:val="00657ADC"/>
    <w:rsid w:val="00657D25"/>
    <w:rsid w:val="006609FA"/>
    <w:rsid w:val="006615A5"/>
    <w:rsid w:val="00661728"/>
    <w:rsid w:val="00662E94"/>
    <w:rsid w:val="0066391C"/>
    <w:rsid w:val="006646CD"/>
    <w:rsid w:val="00665487"/>
    <w:rsid w:val="006658E0"/>
    <w:rsid w:val="00666001"/>
    <w:rsid w:val="0066603A"/>
    <w:rsid w:val="00666D04"/>
    <w:rsid w:val="006702D0"/>
    <w:rsid w:val="00670A77"/>
    <w:rsid w:val="00671B65"/>
    <w:rsid w:val="00671B7F"/>
    <w:rsid w:val="0067456D"/>
    <w:rsid w:val="00674F57"/>
    <w:rsid w:val="0067569F"/>
    <w:rsid w:val="00675BD3"/>
    <w:rsid w:val="00676635"/>
    <w:rsid w:val="006767EF"/>
    <w:rsid w:val="00677207"/>
    <w:rsid w:val="0068043D"/>
    <w:rsid w:val="0068044F"/>
    <w:rsid w:val="00680E3A"/>
    <w:rsid w:val="00681E5A"/>
    <w:rsid w:val="00682375"/>
    <w:rsid w:val="00682C11"/>
    <w:rsid w:val="00684E1B"/>
    <w:rsid w:val="00684F3E"/>
    <w:rsid w:val="00686266"/>
    <w:rsid w:val="00687858"/>
    <w:rsid w:val="00687C34"/>
    <w:rsid w:val="006906C6"/>
    <w:rsid w:val="00691157"/>
    <w:rsid w:val="00693618"/>
    <w:rsid w:val="006944A1"/>
    <w:rsid w:val="00695275"/>
    <w:rsid w:val="006957BB"/>
    <w:rsid w:val="00695B77"/>
    <w:rsid w:val="00695C4B"/>
    <w:rsid w:val="00696506"/>
    <w:rsid w:val="00696CC4"/>
    <w:rsid w:val="006A059D"/>
    <w:rsid w:val="006A16D0"/>
    <w:rsid w:val="006A2C19"/>
    <w:rsid w:val="006A2DD6"/>
    <w:rsid w:val="006A3AF7"/>
    <w:rsid w:val="006A3E9F"/>
    <w:rsid w:val="006A483F"/>
    <w:rsid w:val="006A6E54"/>
    <w:rsid w:val="006B0C0F"/>
    <w:rsid w:val="006B1FA9"/>
    <w:rsid w:val="006B230D"/>
    <w:rsid w:val="006B25E2"/>
    <w:rsid w:val="006B2EFE"/>
    <w:rsid w:val="006B3F8C"/>
    <w:rsid w:val="006B40CC"/>
    <w:rsid w:val="006B45A6"/>
    <w:rsid w:val="006B4D0D"/>
    <w:rsid w:val="006B4F5F"/>
    <w:rsid w:val="006B510C"/>
    <w:rsid w:val="006B5CF5"/>
    <w:rsid w:val="006B7BB8"/>
    <w:rsid w:val="006B7C46"/>
    <w:rsid w:val="006B7CA8"/>
    <w:rsid w:val="006C1B67"/>
    <w:rsid w:val="006C349E"/>
    <w:rsid w:val="006C4364"/>
    <w:rsid w:val="006C43DC"/>
    <w:rsid w:val="006C515A"/>
    <w:rsid w:val="006C6002"/>
    <w:rsid w:val="006C60B5"/>
    <w:rsid w:val="006C62B9"/>
    <w:rsid w:val="006C66A4"/>
    <w:rsid w:val="006C7D94"/>
    <w:rsid w:val="006D01B4"/>
    <w:rsid w:val="006D1017"/>
    <w:rsid w:val="006D191C"/>
    <w:rsid w:val="006D3D8E"/>
    <w:rsid w:val="006D3DD6"/>
    <w:rsid w:val="006D3EB6"/>
    <w:rsid w:val="006D40D0"/>
    <w:rsid w:val="006D46BA"/>
    <w:rsid w:val="006D5E56"/>
    <w:rsid w:val="006D611A"/>
    <w:rsid w:val="006D6A38"/>
    <w:rsid w:val="006D7557"/>
    <w:rsid w:val="006D7E86"/>
    <w:rsid w:val="006E0095"/>
    <w:rsid w:val="006E05CF"/>
    <w:rsid w:val="006E090C"/>
    <w:rsid w:val="006E1693"/>
    <w:rsid w:val="006E1DAF"/>
    <w:rsid w:val="006E21C1"/>
    <w:rsid w:val="006E23D6"/>
    <w:rsid w:val="006E3116"/>
    <w:rsid w:val="006E3222"/>
    <w:rsid w:val="006E6B76"/>
    <w:rsid w:val="006E7A16"/>
    <w:rsid w:val="006F4CD9"/>
    <w:rsid w:val="006F615E"/>
    <w:rsid w:val="006F6180"/>
    <w:rsid w:val="006F7E6A"/>
    <w:rsid w:val="0070261E"/>
    <w:rsid w:val="00703428"/>
    <w:rsid w:val="00705ABC"/>
    <w:rsid w:val="00707E75"/>
    <w:rsid w:val="00710418"/>
    <w:rsid w:val="00710E0B"/>
    <w:rsid w:val="0071164D"/>
    <w:rsid w:val="007118A3"/>
    <w:rsid w:val="00713589"/>
    <w:rsid w:val="00713C4A"/>
    <w:rsid w:val="00713DBD"/>
    <w:rsid w:val="0071463E"/>
    <w:rsid w:val="00714FAE"/>
    <w:rsid w:val="00715BA5"/>
    <w:rsid w:val="00716B12"/>
    <w:rsid w:val="00721C49"/>
    <w:rsid w:val="00721C5D"/>
    <w:rsid w:val="0072446A"/>
    <w:rsid w:val="007245B5"/>
    <w:rsid w:val="00724EDE"/>
    <w:rsid w:val="00725305"/>
    <w:rsid w:val="00725D04"/>
    <w:rsid w:val="00727EC8"/>
    <w:rsid w:val="00731B83"/>
    <w:rsid w:val="00731E2C"/>
    <w:rsid w:val="00732EF6"/>
    <w:rsid w:val="0073316C"/>
    <w:rsid w:val="007335E0"/>
    <w:rsid w:val="00733663"/>
    <w:rsid w:val="00736406"/>
    <w:rsid w:val="00736568"/>
    <w:rsid w:val="00736AE5"/>
    <w:rsid w:val="00737C02"/>
    <w:rsid w:val="00742403"/>
    <w:rsid w:val="00743A94"/>
    <w:rsid w:val="00744972"/>
    <w:rsid w:val="0074594C"/>
    <w:rsid w:val="00745C9D"/>
    <w:rsid w:val="0074660B"/>
    <w:rsid w:val="007472BB"/>
    <w:rsid w:val="00750D91"/>
    <w:rsid w:val="00751296"/>
    <w:rsid w:val="0075147A"/>
    <w:rsid w:val="00751801"/>
    <w:rsid w:val="00752E63"/>
    <w:rsid w:val="00754045"/>
    <w:rsid w:val="00754CFB"/>
    <w:rsid w:val="00755936"/>
    <w:rsid w:val="007564A1"/>
    <w:rsid w:val="007575D3"/>
    <w:rsid w:val="00760887"/>
    <w:rsid w:val="00761A43"/>
    <w:rsid w:val="00762573"/>
    <w:rsid w:val="00762731"/>
    <w:rsid w:val="007628D5"/>
    <w:rsid w:val="0076331A"/>
    <w:rsid w:val="0076355E"/>
    <w:rsid w:val="00764553"/>
    <w:rsid w:val="007666D7"/>
    <w:rsid w:val="00766AF8"/>
    <w:rsid w:val="007678DE"/>
    <w:rsid w:val="00767CB7"/>
    <w:rsid w:val="00770CD2"/>
    <w:rsid w:val="00772D03"/>
    <w:rsid w:val="00773C02"/>
    <w:rsid w:val="00773D57"/>
    <w:rsid w:val="00774746"/>
    <w:rsid w:val="00774884"/>
    <w:rsid w:val="00774FA7"/>
    <w:rsid w:val="007757B5"/>
    <w:rsid w:val="007758B1"/>
    <w:rsid w:val="007759DF"/>
    <w:rsid w:val="00777D84"/>
    <w:rsid w:val="00777F48"/>
    <w:rsid w:val="007800F6"/>
    <w:rsid w:val="00780517"/>
    <w:rsid w:val="007806C1"/>
    <w:rsid w:val="00780B1F"/>
    <w:rsid w:val="007812B8"/>
    <w:rsid w:val="00781737"/>
    <w:rsid w:val="007831BA"/>
    <w:rsid w:val="007838F5"/>
    <w:rsid w:val="0078415E"/>
    <w:rsid w:val="00784A8B"/>
    <w:rsid w:val="00784E6F"/>
    <w:rsid w:val="00785B82"/>
    <w:rsid w:val="00786134"/>
    <w:rsid w:val="007863CD"/>
    <w:rsid w:val="0078756C"/>
    <w:rsid w:val="00790F5A"/>
    <w:rsid w:val="007915F2"/>
    <w:rsid w:val="00793E87"/>
    <w:rsid w:val="00794FB7"/>
    <w:rsid w:val="00796CBE"/>
    <w:rsid w:val="007970FB"/>
    <w:rsid w:val="007977F4"/>
    <w:rsid w:val="007978C1"/>
    <w:rsid w:val="00797A88"/>
    <w:rsid w:val="007A08A2"/>
    <w:rsid w:val="007A2383"/>
    <w:rsid w:val="007A25BC"/>
    <w:rsid w:val="007A3732"/>
    <w:rsid w:val="007A3E54"/>
    <w:rsid w:val="007A409C"/>
    <w:rsid w:val="007A44C7"/>
    <w:rsid w:val="007A472D"/>
    <w:rsid w:val="007A5121"/>
    <w:rsid w:val="007A65BD"/>
    <w:rsid w:val="007A7C25"/>
    <w:rsid w:val="007B1488"/>
    <w:rsid w:val="007B19D1"/>
    <w:rsid w:val="007B22A0"/>
    <w:rsid w:val="007B27B0"/>
    <w:rsid w:val="007B2D00"/>
    <w:rsid w:val="007B39D1"/>
    <w:rsid w:val="007B3AC4"/>
    <w:rsid w:val="007B5263"/>
    <w:rsid w:val="007B6D35"/>
    <w:rsid w:val="007B730A"/>
    <w:rsid w:val="007C0529"/>
    <w:rsid w:val="007C156A"/>
    <w:rsid w:val="007C29B6"/>
    <w:rsid w:val="007C42BF"/>
    <w:rsid w:val="007C5EB0"/>
    <w:rsid w:val="007C6BD5"/>
    <w:rsid w:val="007C7C0A"/>
    <w:rsid w:val="007D0431"/>
    <w:rsid w:val="007D0FC4"/>
    <w:rsid w:val="007D1E99"/>
    <w:rsid w:val="007D221C"/>
    <w:rsid w:val="007D2EEA"/>
    <w:rsid w:val="007D2F65"/>
    <w:rsid w:val="007D4383"/>
    <w:rsid w:val="007D4D9E"/>
    <w:rsid w:val="007D5624"/>
    <w:rsid w:val="007D615D"/>
    <w:rsid w:val="007D716B"/>
    <w:rsid w:val="007D74C9"/>
    <w:rsid w:val="007E017A"/>
    <w:rsid w:val="007E0786"/>
    <w:rsid w:val="007E0FE7"/>
    <w:rsid w:val="007E30A7"/>
    <w:rsid w:val="007E5A90"/>
    <w:rsid w:val="007E7C16"/>
    <w:rsid w:val="007F0453"/>
    <w:rsid w:val="007F0572"/>
    <w:rsid w:val="007F0C72"/>
    <w:rsid w:val="007F13CC"/>
    <w:rsid w:val="007F1729"/>
    <w:rsid w:val="007F1833"/>
    <w:rsid w:val="007F1EDD"/>
    <w:rsid w:val="007F2214"/>
    <w:rsid w:val="007F25FC"/>
    <w:rsid w:val="007F2E81"/>
    <w:rsid w:val="007F3CBF"/>
    <w:rsid w:val="007F5A53"/>
    <w:rsid w:val="007F6D11"/>
    <w:rsid w:val="007F7244"/>
    <w:rsid w:val="0080064D"/>
    <w:rsid w:val="008006A4"/>
    <w:rsid w:val="008006D0"/>
    <w:rsid w:val="00801D21"/>
    <w:rsid w:val="008049B8"/>
    <w:rsid w:val="00804A92"/>
    <w:rsid w:val="0080582F"/>
    <w:rsid w:val="008059E8"/>
    <w:rsid w:val="0080664E"/>
    <w:rsid w:val="00806C31"/>
    <w:rsid w:val="0081089D"/>
    <w:rsid w:val="00811815"/>
    <w:rsid w:val="00811AB1"/>
    <w:rsid w:val="008120AF"/>
    <w:rsid w:val="00814DD8"/>
    <w:rsid w:val="00814DE7"/>
    <w:rsid w:val="00815EC9"/>
    <w:rsid w:val="008163A0"/>
    <w:rsid w:val="008164E1"/>
    <w:rsid w:val="00817510"/>
    <w:rsid w:val="00817662"/>
    <w:rsid w:val="00817A8C"/>
    <w:rsid w:val="008214D1"/>
    <w:rsid w:val="008215D5"/>
    <w:rsid w:val="0082185A"/>
    <w:rsid w:val="00821BA7"/>
    <w:rsid w:val="00821D53"/>
    <w:rsid w:val="00821FC2"/>
    <w:rsid w:val="0082261A"/>
    <w:rsid w:val="00823E8F"/>
    <w:rsid w:val="0082460D"/>
    <w:rsid w:val="00824946"/>
    <w:rsid w:val="00824F18"/>
    <w:rsid w:val="00826AA0"/>
    <w:rsid w:val="00830EF6"/>
    <w:rsid w:val="00830FCC"/>
    <w:rsid w:val="008322B1"/>
    <w:rsid w:val="00834B8C"/>
    <w:rsid w:val="00834FD6"/>
    <w:rsid w:val="0083584A"/>
    <w:rsid w:val="008360D1"/>
    <w:rsid w:val="00836413"/>
    <w:rsid w:val="008366E2"/>
    <w:rsid w:val="008367FF"/>
    <w:rsid w:val="00837D1B"/>
    <w:rsid w:val="008416F9"/>
    <w:rsid w:val="00842964"/>
    <w:rsid w:val="00843156"/>
    <w:rsid w:val="008449FA"/>
    <w:rsid w:val="00845CAE"/>
    <w:rsid w:val="00846C39"/>
    <w:rsid w:val="00846F8C"/>
    <w:rsid w:val="00850B36"/>
    <w:rsid w:val="00850BA2"/>
    <w:rsid w:val="00850FAF"/>
    <w:rsid w:val="0085136B"/>
    <w:rsid w:val="008516E3"/>
    <w:rsid w:val="00852417"/>
    <w:rsid w:val="00854A9A"/>
    <w:rsid w:val="00855090"/>
    <w:rsid w:val="0085627A"/>
    <w:rsid w:val="008568A5"/>
    <w:rsid w:val="00857A0E"/>
    <w:rsid w:val="00861781"/>
    <w:rsid w:val="0086215B"/>
    <w:rsid w:val="00863EDB"/>
    <w:rsid w:val="00864413"/>
    <w:rsid w:val="00864C19"/>
    <w:rsid w:val="00864F24"/>
    <w:rsid w:val="00864FF9"/>
    <w:rsid w:val="00872448"/>
    <w:rsid w:val="00872796"/>
    <w:rsid w:val="00873501"/>
    <w:rsid w:val="0087488A"/>
    <w:rsid w:val="008754D1"/>
    <w:rsid w:val="00876238"/>
    <w:rsid w:val="00877008"/>
    <w:rsid w:val="00880654"/>
    <w:rsid w:val="00880C03"/>
    <w:rsid w:val="00881D60"/>
    <w:rsid w:val="00882293"/>
    <w:rsid w:val="00882BB8"/>
    <w:rsid w:val="00882D3D"/>
    <w:rsid w:val="0088475D"/>
    <w:rsid w:val="008855C8"/>
    <w:rsid w:val="00885607"/>
    <w:rsid w:val="008862D4"/>
    <w:rsid w:val="008873A3"/>
    <w:rsid w:val="00887CA2"/>
    <w:rsid w:val="008903BD"/>
    <w:rsid w:val="00891116"/>
    <w:rsid w:val="00891690"/>
    <w:rsid w:val="008918D3"/>
    <w:rsid w:val="00891A2F"/>
    <w:rsid w:val="00893395"/>
    <w:rsid w:val="008934C5"/>
    <w:rsid w:val="008942CD"/>
    <w:rsid w:val="00894C50"/>
    <w:rsid w:val="008955D8"/>
    <w:rsid w:val="0089590E"/>
    <w:rsid w:val="00895AB2"/>
    <w:rsid w:val="00896B02"/>
    <w:rsid w:val="00896FA4"/>
    <w:rsid w:val="008972B8"/>
    <w:rsid w:val="00897E11"/>
    <w:rsid w:val="008A2856"/>
    <w:rsid w:val="008A29A9"/>
    <w:rsid w:val="008A2A6E"/>
    <w:rsid w:val="008A380B"/>
    <w:rsid w:val="008A408C"/>
    <w:rsid w:val="008A4CFF"/>
    <w:rsid w:val="008A575C"/>
    <w:rsid w:val="008A61C3"/>
    <w:rsid w:val="008A6440"/>
    <w:rsid w:val="008B0585"/>
    <w:rsid w:val="008B23BE"/>
    <w:rsid w:val="008B2E7D"/>
    <w:rsid w:val="008B3E2D"/>
    <w:rsid w:val="008B5944"/>
    <w:rsid w:val="008B5FF5"/>
    <w:rsid w:val="008B62E2"/>
    <w:rsid w:val="008B70AF"/>
    <w:rsid w:val="008B737F"/>
    <w:rsid w:val="008B7588"/>
    <w:rsid w:val="008B7F10"/>
    <w:rsid w:val="008B7F4B"/>
    <w:rsid w:val="008C0553"/>
    <w:rsid w:val="008C184C"/>
    <w:rsid w:val="008C3E27"/>
    <w:rsid w:val="008C5879"/>
    <w:rsid w:val="008C6DF7"/>
    <w:rsid w:val="008D1943"/>
    <w:rsid w:val="008D2A00"/>
    <w:rsid w:val="008D3128"/>
    <w:rsid w:val="008D3EDB"/>
    <w:rsid w:val="008D401E"/>
    <w:rsid w:val="008D40EC"/>
    <w:rsid w:val="008D5090"/>
    <w:rsid w:val="008D69B8"/>
    <w:rsid w:val="008D6C96"/>
    <w:rsid w:val="008D6D0A"/>
    <w:rsid w:val="008D7029"/>
    <w:rsid w:val="008D744F"/>
    <w:rsid w:val="008E310D"/>
    <w:rsid w:val="008E3BD6"/>
    <w:rsid w:val="008E53D0"/>
    <w:rsid w:val="008E54E1"/>
    <w:rsid w:val="008E5641"/>
    <w:rsid w:val="008E6E2F"/>
    <w:rsid w:val="008E7963"/>
    <w:rsid w:val="008F059E"/>
    <w:rsid w:val="008F2C95"/>
    <w:rsid w:val="008F3703"/>
    <w:rsid w:val="008F4AB6"/>
    <w:rsid w:val="008F6223"/>
    <w:rsid w:val="008F6983"/>
    <w:rsid w:val="008F77C5"/>
    <w:rsid w:val="008F7CB6"/>
    <w:rsid w:val="00900CF0"/>
    <w:rsid w:val="0090119E"/>
    <w:rsid w:val="00901B9A"/>
    <w:rsid w:val="00902C48"/>
    <w:rsid w:val="009037AC"/>
    <w:rsid w:val="0090386D"/>
    <w:rsid w:val="00904880"/>
    <w:rsid w:val="00904D6C"/>
    <w:rsid w:val="00905784"/>
    <w:rsid w:val="00905E18"/>
    <w:rsid w:val="00906386"/>
    <w:rsid w:val="009066AB"/>
    <w:rsid w:val="00907399"/>
    <w:rsid w:val="0091019F"/>
    <w:rsid w:val="00912F96"/>
    <w:rsid w:val="00913395"/>
    <w:rsid w:val="00914BB4"/>
    <w:rsid w:val="00915AAC"/>
    <w:rsid w:val="00916D66"/>
    <w:rsid w:val="00917A3F"/>
    <w:rsid w:val="00917FC5"/>
    <w:rsid w:val="009203DE"/>
    <w:rsid w:val="00920940"/>
    <w:rsid w:val="0092099D"/>
    <w:rsid w:val="00921401"/>
    <w:rsid w:val="009215D1"/>
    <w:rsid w:val="00923A00"/>
    <w:rsid w:val="0092406A"/>
    <w:rsid w:val="009261A1"/>
    <w:rsid w:val="00926721"/>
    <w:rsid w:val="009271B9"/>
    <w:rsid w:val="00931351"/>
    <w:rsid w:val="00934A6C"/>
    <w:rsid w:val="009361AF"/>
    <w:rsid w:val="009373DC"/>
    <w:rsid w:val="009404BC"/>
    <w:rsid w:val="00943B6C"/>
    <w:rsid w:val="00943C94"/>
    <w:rsid w:val="0094444B"/>
    <w:rsid w:val="00944794"/>
    <w:rsid w:val="00945167"/>
    <w:rsid w:val="009451A9"/>
    <w:rsid w:val="00945FAF"/>
    <w:rsid w:val="009460D1"/>
    <w:rsid w:val="00946692"/>
    <w:rsid w:val="009473DA"/>
    <w:rsid w:val="0095060F"/>
    <w:rsid w:val="00950935"/>
    <w:rsid w:val="00951FB3"/>
    <w:rsid w:val="00953EA5"/>
    <w:rsid w:val="009543A4"/>
    <w:rsid w:val="009543FA"/>
    <w:rsid w:val="00954844"/>
    <w:rsid w:val="00954FCE"/>
    <w:rsid w:val="0095572D"/>
    <w:rsid w:val="00955A27"/>
    <w:rsid w:val="00955C4F"/>
    <w:rsid w:val="00955D5C"/>
    <w:rsid w:val="0095644C"/>
    <w:rsid w:val="00960BAB"/>
    <w:rsid w:val="009619DA"/>
    <w:rsid w:val="00961DE5"/>
    <w:rsid w:val="009639CF"/>
    <w:rsid w:val="00963B1A"/>
    <w:rsid w:val="00964878"/>
    <w:rsid w:val="00964BAE"/>
    <w:rsid w:val="009652F3"/>
    <w:rsid w:val="0096696E"/>
    <w:rsid w:val="009706B6"/>
    <w:rsid w:val="00972189"/>
    <w:rsid w:val="00973061"/>
    <w:rsid w:val="00974CDF"/>
    <w:rsid w:val="00975BE1"/>
    <w:rsid w:val="00976EB0"/>
    <w:rsid w:val="009773A6"/>
    <w:rsid w:val="0098081C"/>
    <w:rsid w:val="00980E54"/>
    <w:rsid w:val="00981223"/>
    <w:rsid w:val="00981700"/>
    <w:rsid w:val="00982268"/>
    <w:rsid w:val="009827CF"/>
    <w:rsid w:val="00983831"/>
    <w:rsid w:val="00983BEB"/>
    <w:rsid w:val="00983ED8"/>
    <w:rsid w:val="009857EF"/>
    <w:rsid w:val="00987452"/>
    <w:rsid w:val="00990CBD"/>
    <w:rsid w:val="00990EB6"/>
    <w:rsid w:val="009922C6"/>
    <w:rsid w:val="00993D33"/>
    <w:rsid w:val="0099483B"/>
    <w:rsid w:val="00994EA7"/>
    <w:rsid w:val="00996434"/>
    <w:rsid w:val="009969D3"/>
    <w:rsid w:val="00997471"/>
    <w:rsid w:val="009A01B1"/>
    <w:rsid w:val="009A0EC4"/>
    <w:rsid w:val="009A14E3"/>
    <w:rsid w:val="009A1EBD"/>
    <w:rsid w:val="009A2EC3"/>
    <w:rsid w:val="009A3323"/>
    <w:rsid w:val="009A3526"/>
    <w:rsid w:val="009A4527"/>
    <w:rsid w:val="009A55AB"/>
    <w:rsid w:val="009A59C6"/>
    <w:rsid w:val="009A5AA0"/>
    <w:rsid w:val="009A6AFE"/>
    <w:rsid w:val="009A6E16"/>
    <w:rsid w:val="009B0DB6"/>
    <w:rsid w:val="009B0E92"/>
    <w:rsid w:val="009B1A46"/>
    <w:rsid w:val="009B1BAA"/>
    <w:rsid w:val="009B2244"/>
    <w:rsid w:val="009B33F9"/>
    <w:rsid w:val="009B3A68"/>
    <w:rsid w:val="009B428F"/>
    <w:rsid w:val="009B487F"/>
    <w:rsid w:val="009B6274"/>
    <w:rsid w:val="009B669B"/>
    <w:rsid w:val="009B68C4"/>
    <w:rsid w:val="009C1CC9"/>
    <w:rsid w:val="009C3E8C"/>
    <w:rsid w:val="009C4382"/>
    <w:rsid w:val="009C460E"/>
    <w:rsid w:val="009C4B2A"/>
    <w:rsid w:val="009C4E16"/>
    <w:rsid w:val="009C50F9"/>
    <w:rsid w:val="009C5BFA"/>
    <w:rsid w:val="009C5CCB"/>
    <w:rsid w:val="009C7D1C"/>
    <w:rsid w:val="009D03B5"/>
    <w:rsid w:val="009D1048"/>
    <w:rsid w:val="009D18D7"/>
    <w:rsid w:val="009D22C2"/>
    <w:rsid w:val="009D33E5"/>
    <w:rsid w:val="009D4D58"/>
    <w:rsid w:val="009D5AD5"/>
    <w:rsid w:val="009D6DEA"/>
    <w:rsid w:val="009D7C7D"/>
    <w:rsid w:val="009E058E"/>
    <w:rsid w:val="009E07C4"/>
    <w:rsid w:val="009E25DE"/>
    <w:rsid w:val="009E2624"/>
    <w:rsid w:val="009E2B00"/>
    <w:rsid w:val="009E3367"/>
    <w:rsid w:val="009E3712"/>
    <w:rsid w:val="009E45C7"/>
    <w:rsid w:val="009E48A3"/>
    <w:rsid w:val="009F0211"/>
    <w:rsid w:val="009F1578"/>
    <w:rsid w:val="009F2D1C"/>
    <w:rsid w:val="009F387C"/>
    <w:rsid w:val="009F4351"/>
    <w:rsid w:val="009F634E"/>
    <w:rsid w:val="009F7E7A"/>
    <w:rsid w:val="00A0064A"/>
    <w:rsid w:val="00A027B4"/>
    <w:rsid w:val="00A02BCB"/>
    <w:rsid w:val="00A02D42"/>
    <w:rsid w:val="00A02DE7"/>
    <w:rsid w:val="00A03165"/>
    <w:rsid w:val="00A039F7"/>
    <w:rsid w:val="00A03FE5"/>
    <w:rsid w:val="00A04781"/>
    <w:rsid w:val="00A04F38"/>
    <w:rsid w:val="00A05DCD"/>
    <w:rsid w:val="00A07746"/>
    <w:rsid w:val="00A10747"/>
    <w:rsid w:val="00A111E1"/>
    <w:rsid w:val="00A11AB7"/>
    <w:rsid w:val="00A11DE0"/>
    <w:rsid w:val="00A1248F"/>
    <w:rsid w:val="00A1428D"/>
    <w:rsid w:val="00A142BA"/>
    <w:rsid w:val="00A14366"/>
    <w:rsid w:val="00A14F15"/>
    <w:rsid w:val="00A165D9"/>
    <w:rsid w:val="00A1751E"/>
    <w:rsid w:val="00A20D77"/>
    <w:rsid w:val="00A22036"/>
    <w:rsid w:val="00A2521C"/>
    <w:rsid w:val="00A25433"/>
    <w:rsid w:val="00A25456"/>
    <w:rsid w:val="00A2579E"/>
    <w:rsid w:val="00A257AC"/>
    <w:rsid w:val="00A25ABE"/>
    <w:rsid w:val="00A26A21"/>
    <w:rsid w:val="00A26AF2"/>
    <w:rsid w:val="00A26B8E"/>
    <w:rsid w:val="00A2769E"/>
    <w:rsid w:val="00A27725"/>
    <w:rsid w:val="00A30AEE"/>
    <w:rsid w:val="00A3180E"/>
    <w:rsid w:val="00A31F33"/>
    <w:rsid w:val="00A32AB4"/>
    <w:rsid w:val="00A368F8"/>
    <w:rsid w:val="00A36F48"/>
    <w:rsid w:val="00A41EDD"/>
    <w:rsid w:val="00A4221E"/>
    <w:rsid w:val="00A42BC6"/>
    <w:rsid w:val="00A42C8D"/>
    <w:rsid w:val="00A431F8"/>
    <w:rsid w:val="00A438A4"/>
    <w:rsid w:val="00A43911"/>
    <w:rsid w:val="00A43B90"/>
    <w:rsid w:val="00A43C32"/>
    <w:rsid w:val="00A445BE"/>
    <w:rsid w:val="00A458CF"/>
    <w:rsid w:val="00A458E5"/>
    <w:rsid w:val="00A46B49"/>
    <w:rsid w:val="00A478FA"/>
    <w:rsid w:val="00A47E8E"/>
    <w:rsid w:val="00A50117"/>
    <w:rsid w:val="00A5016C"/>
    <w:rsid w:val="00A511F1"/>
    <w:rsid w:val="00A51257"/>
    <w:rsid w:val="00A52A1B"/>
    <w:rsid w:val="00A52A56"/>
    <w:rsid w:val="00A52C10"/>
    <w:rsid w:val="00A5314E"/>
    <w:rsid w:val="00A5323A"/>
    <w:rsid w:val="00A541DC"/>
    <w:rsid w:val="00A5420A"/>
    <w:rsid w:val="00A54B5D"/>
    <w:rsid w:val="00A54BF3"/>
    <w:rsid w:val="00A552E3"/>
    <w:rsid w:val="00A55314"/>
    <w:rsid w:val="00A5553E"/>
    <w:rsid w:val="00A55691"/>
    <w:rsid w:val="00A56659"/>
    <w:rsid w:val="00A56C06"/>
    <w:rsid w:val="00A5712D"/>
    <w:rsid w:val="00A573AE"/>
    <w:rsid w:val="00A57B45"/>
    <w:rsid w:val="00A60F91"/>
    <w:rsid w:val="00A61CB0"/>
    <w:rsid w:val="00A61CDC"/>
    <w:rsid w:val="00A62464"/>
    <w:rsid w:val="00A638F9"/>
    <w:rsid w:val="00A63EFE"/>
    <w:rsid w:val="00A64882"/>
    <w:rsid w:val="00A65874"/>
    <w:rsid w:val="00A66AB3"/>
    <w:rsid w:val="00A70479"/>
    <w:rsid w:val="00A70531"/>
    <w:rsid w:val="00A70FFE"/>
    <w:rsid w:val="00A7157E"/>
    <w:rsid w:val="00A71A39"/>
    <w:rsid w:val="00A7380C"/>
    <w:rsid w:val="00A73D3A"/>
    <w:rsid w:val="00A746CB"/>
    <w:rsid w:val="00A74CCC"/>
    <w:rsid w:val="00A74E0E"/>
    <w:rsid w:val="00A7526C"/>
    <w:rsid w:val="00A753A9"/>
    <w:rsid w:val="00A7576E"/>
    <w:rsid w:val="00A76469"/>
    <w:rsid w:val="00A7670B"/>
    <w:rsid w:val="00A76843"/>
    <w:rsid w:val="00A774D1"/>
    <w:rsid w:val="00A77D84"/>
    <w:rsid w:val="00A811EB"/>
    <w:rsid w:val="00A81228"/>
    <w:rsid w:val="00A81ABB"/>
    <w:rsid w:val="00A842FE"/>
    <w:rsid w:val="00A84486"/>
    <w:rsid w:val="00A84750"/>
    <w:rsid w:val="00A86CF0"/>
    <w:rsid w:val="00A87644"/>
    <w:rsid w:val="00A87D98"/>
    <w:rsid w:val="00A902C9"/>
    <w:rsid w:val="00A913C9"/>
    <w:rsid w:val="00A9205A"/>
    <w:rsid w:val="00A920DE"/>
    <w:rsid w:val="00A94470"/>
    <w:rsid w:val="00A95751"/>
    <w:rsid w:val="00A95A7C"/>
    <w:rsid w:val="00A95BCB"/>
    <w:rsid w:val="00A96740"/>
    <w:rsid w:val="00A973F4"/>
    <w:rsid w:val="00AA087D"/>
    <w:rsid w:val="00AA1989"/>
    <w:rsid w:val="00AA1B0A"/>
    <w:rsid w:val="00AA2C89"/>
    <w:rsid w:val="00AA2D8B"/>
    <w:rsid w:val="00AA343E"/>
    <w:rsid w:val="00AA445D"/>
    <w:rsid w:val="00AA4D4D"/>
    <w:rsid w:val="00AA4F20"/>
    <w:rsid w:val="00AA5AF8"/>
    <w:rsid w:val="00AA6AE3"/>
    <w:rsid w:val="00AA79C6"/>
    <w:rsid w:val="00AB0A5B"/>
    <w:rsid w:val="00AB0F43"/>
    <w:rsid w:val="00AB1EDE"/>
    <w:rsid w:val="00AB271A"/>
    <w:rsid w:val="00AB277A"/>
    <w:rsid w:val="00AB2B37"/>
    <w:rsid w:val="00AB3209"/>
    <w:rsid w:val="00AB3428"/>
    <w:rsid w:val="00AB57D9"/>
    <w:rsid w:val="00AB5D63"/>
    <w:rsid w:val="00AB6F15"/>
    <w:rsid w:val="00AC0240"/>
    <w:rsid w:val="00AC135D"/>
    <w:rsid w:val="00AC2907"/>
    <w:rsid w:val="00AC3628"/>
    <w:rsid w:val="00AD0446"/>
    <w:rsid w:val="00AD3406"/>
    <w:rsid w:val="00AD3AB2"/>
    <w:rsid w:val="00AD41D2"/>
    <w:rsid w:val="00AD44C1"/>
    <w:rsid w:val="00AD55C3"/>
    <w:rsid w:val="00AD73EA"/>
    <w:rsid w:val="00AD748A"/>
    <w:rsid w:val="00AD7D14"/>
    <w:rsid w:val="00AD7F8F"/>
    <w:rsid w:val="00AE030B"/>
    <w:rsid w:val="00AE1494"/>
    <w:rsid w:val="00AE1F88"/>
    <w:rsid w:val="00AE25F4"/>
    <w:rsid w:val="00AE26E4"/>
    <w:rsid w:val="00AE43B9"/>
    <w:rsid w:val="00AE44B0"/>
    <w:rsid w:val="00AE4AB2"/>
    <w:rsid w:val="00AE4B83"/>
    <w:rsid w:val="00AE57A3"/>
    <w:rsid w:val="00AE58A0"/>
    <w:rsid w:val="00AE5E3F"/>
    <w:rsid w:val="00AE6A3E"/>
    <w:rsid w:val="00AF0497"/>
    <w:rsid w:val="00AF0718"/>
    <w:rsid w:val="00AF07FB"/>
    <w:rsid w:val="00AF0ABF"/>
    <w:rsid w:val="00AF1B9B"/>
    <w:rsid w:val="00AF1DAB"/>
    <w:rsid w:val="00AF1EA4"/>
    <w:rsid w:val="00AF202B"/>
    <w:rsid w:val="00AF3E11"/>
    <w:rsid w:val="00AF4629"/>
    <w:rsid w:val="00AF48F1"/>
    <w:rsid w:val="00AF5C49"/>
    <w:rsid w:val="00AF5F41"/>
    <w:rsid w:val="00AF647C"/>
    <w:rsid w:val="00AF694A"/>
    <w:rsid w:val="00AF7B09"/>
    <w:rsid w:val="00AF7C0A"/>
    <w:rsid w:val="00B00BF8"/>
    <w:rsid w:val="00B012AF"/>
    <w:rsid w:val="00B01C24"/>
    <w:rsid w:val="00B02523"/>
    <w:rsid w:val="00B026EF"/>
    <w:rsid w:val="00B056D2"/>
    <w:rsid w:val="00B05DB9"/>
    <w:rsid w:val="00B06C07"/>
    <w:rsid w:val="00B072E6"/>
    <w:rsid w:val="00B07AD1"/>
    <w:rsid w:val="00B07FD1"/>
    <w:rsid w:val="00B10091"/>
    <w:rsid w:val="00B10563"/>
    <w:rsid w:val="00B10681"/>
    <w:rsid w:val="00B10736"/>
    <w:rsid w:val="00B13EBC"/>
    <w:rsid w:val="00B156F2"/>
    <w:rsid w:val="00B15C88"/>
    <w:rsid w:val="00B1620A"/>
    <w:rsid w:val="00B16A22"/>
    <w:rsid w:val="00B16E84"/>
    <w:rsid w:val="00B17288"/>
    <w:rsid w:val="00B17452"/>
    <w:rsid w:val="00B17C2C"/>
    <w:rsid w:val="00B20D0B"/>
    <w:rsid w:val="00B20FAB"/>
    <w:rsid w:val="00B22BA2"/>
    <w:rsid w:val="00B23031"/>
    <w:rsid w:val="00B23B78"/>
    <w:rsid w:val="00B24F11"/>
    <w:rsid w:val="00B2536A"/>
    <w:rsid w:val="00B26D81"/>
    <w:rsid w:val="00B26D8F"/>
    <w:rsid w:val="00B27CF7"/>
    <w:rsid w:val="00B30732"/>
    <w:rsid w:val="00B309D9"/>
    <w:rsid w:val="00B322F0"/>
    <w:rsid w:val="00B32474"/>
    <w:rsid w:val="00B326DF"/>
    <w:rsid w:val="00B3451A"/>
    <w:rsid w:val="00B345F3"/>
    <w:rsid w:val="00B34A43"/>
    <w:rsid w:val="00B34DC3"/>
    <w:rsid w:val="00B34F9B"/>
    <w:rsid w:val="00B3699E"/>
    <w:rsid w:val="00B36CBF"/>
    <w:rsid w:val="00B370C4"/>
    <w:rsid w:val="00B377B9"/>
    <w:rsid w:val="00B37B2D"/>
    <w:rsid w:val="00B40D5C"/>
    <w:rsid w:val="00B415D8"/>
    <w:rsid w:val="00B41849"/>
    <w:rsid w:val="00B41CE1"/>
    <w:rsid w:val="00B42D83"/>
    <w:rsid w:val="00B42F12"/>
    <w:rsid w:val="00B44BE1"/>
    <w:rsid w:val="00B44D37"/>
    <w:rsid w:val="00B46ADB"/>
    <w:rsid w:val="00B4718B"/>
    <w:rsid w:val="00B47B12"/>
    <w:rsid w:val="00B503F2"/>
    <w:rsid w:val="00B50A7A"/>
    <w:rsid w:val="00B51378"/>
    <w:rsid w:val="00B51676"/>
    <w:rsid w:val="00B51BD9"/>
    <w:rsid w:val="00B53EED"/>
    <w:rsid w:val="00B55749"/>
    <w:rsid w:val="00B566D2"/>
    <w:rsid w:val="00B57E53"/>
    <w:rsid w:val="00B60607"/>
    <w:rsid w:val="00B615D6"/>
    <w:rsid w:val="00B61BF6"/>
    <w:rsid w:val="00B644F2"/>
    <w:rsid w:val="00B655B4"/>
    <w:rsid w:val="00B65D4D"/>
    <w:rsid w:val="00B65E43"/>
    <w:rsid w:val="00B65FDC"/>
    <w:rsid w:val="00B66DE7"/>
    <w:rsid w:val="00B67E1B"/>
    <w:rsid w:val="00B72544"/>
    <w:rsid w:val="00B728B6"/>
    <w:rsid w:val="00B72FE6"/>
    <w:rsid w:val="00B7362E"/>
    <w:rsid w:val="00B74063"/>
    <w:rsid w:val="00B74E42"/>
    <w:rsid w:val="00B76B57"/>
    <w:rsid w:val="00B7702C"/>
    <w:rsid w:val="00B77CE3"/>
    <w:rsid w:val="00B81441"/>
    <w:rsid w:val="00B8169A"/>
    <w:rsid w:val="00B82414"/>
    <w:rsid w:val="00B82C35"/>
    <w:rsid w:val="00B83B3D"/>
    <w:rsid w:val="00B8466D"/>
    <w:rsid w:val="00B85B2B"/>
    <w:rsid w:val="00B85B39"/>
    <w:rsid w:val="00B86050"/>
    <w:rsid w:val="00B86900"/>
    <w:rsid w:val="00B87323"/>
    <w:rsid w:val="00B90738"/>
    <w:rsid w:val="00B91662"/>
    <w:rsid w:val="00B916E4"/>
    <w:rsid w:val="00B9353E"/>
    <w:rsid w:val="00B935F4"/>
    <w:rsid w:val="00B937C5"/>
    <w:rsid w:val="00B95E31"/>
    <w:rsid w:val="00BA118E"/>
    <w:rsid w:val="00BA24B3"/>
    <w:rsid w:val="00BA2899"/>
    <w:rsid w:val="00BA35F5"/>
    <w:rsid w:val="00BA4A57"/>
    <w:rsid w:val="00BA4E5D"/>
    <w:rsid w:val="00BA4EFE"/>
    <w:rsid w:val="00BA51FB"/>
    <w:rsid w:val="00BA5717"/>
    <w:rsid w:val="00BA5EAB"/>
    <w:rsid w:val="00BA6769"/>
    <w:rsid w:val="00BA68C8"/>
    <w:rsid w:val="00BA7423"/>
    <w:rsid w:val="00BB3AE7"/>
    <w:rsid w:val="00BB484A"/>
    <w:rsid w:val="00BB504E"/>
    <w:rsid w:val="00BB6186"/>
    <w:rsid w:val="00BB75F8"/>
    <w:rsid w:val="00BB789F"/>
    <w:rsid w:val="00BC031B"/>
    <w:rsid w:val="00BC0C59"/>
    <w:rsid w:val="00BC29EA"/>
    <w:rsid w:val="00BC3587"/>
    <w:rsid w:val="00BC4629"/>
    <w:rsid w:val="00BC6D2E"/>
    <w:rsid w:val="00BD0BDA"/>
    <w:rsid w:val="00BD0DD9"/>
    <w:rsid w:val="00BD0E98"/>
    <w:rsid w:val="00BD111A"/>
    <w:rsid w:val="00BD38F3"/>
    <w:rsid w:val="00BD43D2"/>
    <w:rsid w:val="00BD5F44"/>
    <w:rsid w:val="00BD6290"/>
    <w:rsid w:val="00BD6547"/>
    <w:rsid w:val="00BD6951"/>
    <w:rsid w:val="00BD6C59"/>
    <w:rsid w:val="00BD6E34"/>
    <w:rsid w:val="00BD713B"/>
    <w:rsid w:val="00BD7A58"/>
    <w:rsid w:val="00BD7DF1"/>
    <w:rsid w:val="00BE021B"/>
    <w:rsid w:val="00BE05BC"/>
    <w:rsid w:val="00BE09B8"/>
    <w:rsid w:val="00BE14BC"/>
    <w:rsid w:val="00BE1D4A"/>
    <w:rsid w:val="00BE405B"/>
    <w:rsid w:val="00BE42C7"/>
    <w:rsid w:val="00BE501B"/>
    <w:rsid w:val="00BE5FC0"/>
    <w:rsid w:val="00BE5FDD"/>
    <w:rsid w:val="00BE60D3"/>
    <w:rsid w:val="00BE6DB7"/>
    <w:rsid w:val="00BE6ECC"/>
    <w:rsid w:val="00BF04AE"/>
    <w:rsid w:val="00BF1B4F"/>
    <w:rsid w:val="00BF2F0C"/>
    <w:rsid w:val="00BF42D0"/>
    <w:rsid w:val="00BF5777"/>
    <w:rsid w:val="00BF5DDD"/>
    <w:rsid w:val="00C03A1A"/>
    <w:rsid w:val="00C05104"/>
    <w:rsid w:val="00C052D7"/>
    <w:rsid w:val="00C05486"/>
    <w:rsid w:val="00C05581"/>
    <w:rsid w:val="00C06D0B"/>
    <w:rsid w:val="00C075CF"/>
    <w:rsid w:val="00C077C5"/>
    <w:rsid w:val="00C10C3B"/>
    <w:rsid w:val="00C10E35"/>
    <w:rsid w:val="00C118AB"/>
    <w:rsid w:val="00C12CC7"/>
    <w:rsid w:val="00C13BEF"/>
    <w:rsid w:val="00C148DF"/>
    <w:rsid w:val="00C16836"/>
    <w:rsid w:val="00C170D7"/>
    <w:rsid w:val="00C200FB"/>
    <w:rsid w:val="00C21877"/>
    <w:rsid w:val="00C23690"/>
    <w:rsid w:val="00C252B1"/>
    <w:rsid w:val="00C26534"/>
    <w:rsid w:val="00C26C3F"/>
    <w:rsid w:val="00C26F36"/>
    <w:rsid w:val="00C30466"/>
    <w:rsid w:val="00C30E93"/>
    <w:rsid w:val="00C31190"/>
    <w:rsid w:val="00C3126D"/>
    <w:rsid w:val="00C31656"/>
    <w:rsid w:val="00C32F94"/>
    <w:rsid w:val="00C33913"/>
    <w:rsid w:val="00C35784"/>
    <w:rsid w:val="00C3683B"/>
    <w:rsid w:val="00C37C9E"/>
    <w:rsid w:val="00C40636"/>
    <w:rsid w:val="00C40F52"/>
    <w:rsid w:val="00C41CE8"/>
    <w:rsid w:val="00C41E8F"/>
    <w:rsid w:val="00C42315"/>
    <w:rsid w:val="00C42EDF"/>
    <w:rsid w:val="00C463D2"/>
    <w:rsid w:val="00C50075"/>
    <w:rsid w:val="00C50E28"/>
    <w:rsid w:val="00C511EB"/>
    <w:rsid w:val="00C516C0"/>
    <w:rsid w:val="00C51FBB"/>
    <w:rsid w:val="00C544FD"/>
    <w:rsid w:val="00C57171"/>
    <w:rsid w:val="00C60102"/>
    <w:rsid w:val="00C62C06"/>
    <w:rsid w:val="00C6471E"/>
    <w:rsid w:val="00C6583A"/>
    <w:rsid w:val="00C659F3"/>
    <w:rsid w:val="00C65E53"/>
    <w:rsid w:val="00C6688C"/>
    <w:rsid w:val="00C676C8"/>
    <w:rsid w:val="00C70A4D"/>
    <w:rsid w:val="00C71D1A"/>
    <w:rsid w:val="00C73AA9"/>
    <w:rsid w:val="00C73CD8"/>
    <w:rsid w:val="00C74450"/>
    <w:rsid w:val="00C746BA"/>
    <w:rsid w:val="00C74A3A"/>
    <w:rsid w:val="00C774CC"/>
    <w:rsid w:val="00C808A2"/>
    <w:rsid w:val="00C81060"/>
    <w:rsid w:val="00C8106E"/>
    <w:rsid w:val="00C8162C"/>
    <w:rsid w:val="00C82C8B"/>
    <w:rsid w:val="00C84737"/>
    <w:rsid w:val="00C850D5"/>
    <w:rsid w:val="00C863C3"/>
    <w:rsid w:val="00C93710"/>
    <w:rsid w:val="00C9387F"/>
    <w:rsid w:val="00C94398"/>
    <w:rsid w:val="00C94909"/>
    <w:rsid w:val="00C94C09"/>
    <w:rsid w:val="00C95278"/>
    <w:rsid w:val="00C95930"/>
    <w:rsid w:val="00C95B22"/>
    <w:rsid w:val="00C96668"/>
    <w:rsid w:val="00C96743"/>
    <w:rsid w:val="00C96ECF"/>
    <w:rsid w:val="00C97C5F"/>
    <w:rsid w:val="00C97F7E"/>
    <w:rsid w:val="00CA31B0"/>
    <w:rsid w:val="00CA44BC"/>
    <w:rsid w:val="00CA7051"/>
    <w:rsid w:val="00CA719D"/>
    <w:rsid w:val="00CA7518"/>
    <w:rsid w:val="00CA7856"/>
    <w:rsid w:val="00CB0E68"/>
    <w:rsid w:val="00CB1BDD"/>
    <w:rsid w:val="00CB39E9"/>
    <w:rsid w:val="00CB59E4"/>
    <w:rsid w:val="00CB5B1F"/>
    <w:rsid w:val="00CB672F"/>
    <w:rsid w:val="00CB6EF8"/>
    <w:rsid w:val="00CB74CE"/>
    <w:rsid w:val="00CB7B5D"/>
    <w:rsid w:val="00CC040C"/>
    <w:rsid w:val="00CC126D"/>
    <w:rsid w:val="00CC18AA"/>
    <w:rsid w:val="00CC2612"/>
    <w:rsid w:val="00CC3A97"/>
    <w:rsid w:val="00CC3EF4"/>
    <w:rsid w:val="00CC5AD3"/>
    <w:rsid w:val="00CC6BE3"/>
    <w:rsid w:val="00CC6FBE"/>
    <w:rsid w:val="00CC70E6"/>
    <w:rsid w:val="00CC7EB1"/>
    <w:rsid w:val="00CD0295"/>
    <w:rsid w:val="00CD3501"/>
    <w:rsid w:val="00CD35A8"/>
    <w:rsid w:val="00CD4E5F"/>
    <w:rsid w:val="00CD62DC"/>
    <w:rsid w:val="00CD6514"/>
    <w:rsid w:val="00CD6FD5"/>
    <w:rsid w:val="00CD703F"/>
    <w:rsid w:val="00CE0469"/>
    <w:rsid w:val="00CE19A1"/>
    <w:rsid w:val="00CE2E77"/>
    <w:rsid w:val="00CE34BD"/>
    <w:rsid w:val="00CE3E38"/>
    <w:rsid w:val="00CE4798"/>
    <w:rsid w:val="00CE50E6"/>
    <w:rsid w:val="00CE5F24"/>
    <w:rsid w:val="00CE642B"/>
    <w:rsid w:val="00CE6D1A"/>
    <w:rsid w:val="00CE74C7"/>
    <w:rsid w:val="00CF0FEC"/>
    <w:rsid w:val="00CF122A"/>
    <w:rsid w:val="00CF1CB2"/>
    <w:rsid w:val="00CF1DAE"/>
    <w:rsid w:val="00CF209E"/>
    <w:rsid w:val="00CF34DC"/>
    <w:rsid w:val="00CF3A80"/>
    <w:rsid w:val="00CF4366"/>
    <w:rsid w:val="00CF560D"/>
    <w:rsid w:val="00CF57EB"/>
    <w:rsid w:val="00CF65C0"/>
    <w:rsid w:val="00CF67A4"/>
    <w:rsid w:val="00CF6B9F"/>
    <w:rsid w:val="00D00C0F"/>
    <w:rsid w:val="00D02215"/>
    <w:rsid w:val="00D02993"/>
    <w:rsid w:val="00D036C3"/>
    <w:rsid w:val="00D04725"/>
    <w:rsid w:val="00D05067"/>
    <w:rsid w:val="00D05495"/>
    <w:rsid w:val="00D06D1C"/>
    <w:rsid w:val="00D070A7"/>
    <w:rsid w:val="00D10C1E"/>
    <w:rsid w:val="00D10C24"/>
    <w:rsid w:val="00D11594"/>
    <w:rsid w:val="00D11E39"/>
    <w:rsid w:val="00D12D9E"/>
    <w:rsid w:val="00D132D3"/>
    <w:rsid w:val="00D1448A"/>
    <w:rsid w:val="00D15EC5"/>
    <w:rsid w:val="00D1619A"/>
    <w:rsid w:val="00D20DBA"/>
    <w:rsid w:val="00D217FC"/>
    <w:rsid w:val="00D247A2"/>
    <w:rsid w:val="00D26196"/>
    <w:rsid w:val="00D27046"/>
    <w:rsid w:val="00D27AB1"/>
    <w:rsid w:val="00D30AA4"/>
    <w:rsid w:val="00D32161"/>
    <w:rsid w:val="00D332A9"/>
    <w:rsid w:val="00D33FF6"/>
    <w:rsid w:val="00D36077"/>
    <w:rsid w:val="00D408BD"/>
    <w:rsid w:val="00D4128D"/>
    <w:rsid w:val="00D41595"/>
    <w:rsid w:val="00D41BEB"/>
    <w:rsid w:val="00D4259F"/>
    <w:rsid w:val="00D43809"/>
    <w:rsid w:val="00D43ADC"/>
    <w:rsid w:val="00D43BD5"/>
    <w:rsid w:val="00D445FB"/>
    <w:rsid w:val="00D44700"/>
    <w:rsid w:val="00D44AB6"/>
    <w:rsid w:val="00D45321"/>
    <w:rsid w:val="00D45B3B"/>
    <w:rsid w:val="00D50148"/>
    <w:rsid w:val="00D51148"/>
    <w:rsid w:val="00D517F7"/>
    <w:rsid w:val="00D52213"/>
    <w:rsid w:val="00D52D42"/>
    <w:rsid w:val="00D533A0"/>
    <w:rsid w:val="00D55BED"/>
    <w:rsid w:val="00D55D7A"/>
    <w:rsid w:val="00D5699E"/>
    <w:rsid w:val="00D57A65"/>
    <w:rsid w:val="00D60637"/>
    <w:rsid w:val="00D609D6"/>
    <w:rsid w:val="00D60F40"/>
    <w:rsid w:val="00D61434"/>
    <w:rsid w:val="00D61CCC"/>
    <w:rsid w:val="00D61FC5"/>
    <w:rsid w:val="00D62C63"/>
    <w:rsid w:val="00D643F9"/>
    <w:rsid w:val="00D656D8"/>
    <w:rsid w:val="00D6591D"/>
    <w:rsid w:val="00D6642C"/>
    <w:rsid w:val="00D66F97"/>
    <w:rsid w:val="00D671F0"/>
    <w:rsid w:val="00D70076"/>
    <w:rsid w:val="00D71726"/>
    <w:rsid w:val="00D71FDF"/>
    <w:rsid w:val="00D72599"/>
    <w:rsid w:val="00D736D6"/>
    <w:rsid w:val="00D75919"/>
    <w:rsid w:val="00D75A9B"/>
    <w:rsid w:val="00D7666B"/>
    <w:rsid w:val="00D771CD"/>
    <w:rsid w:val="00D8033C"/>
    <w:rsid w:val="00D8042F"/>
    <w:rsid w:val="00D80C1C"/>
    <w:rsid w:val="00D80FC9"/>
    <w:rsid w:val="00D81F25"/>
    <w:rsid w:val="00D82087"/>
    <w:rsid w:val="00D822F5"/>
    <w:rsid w:val="00D8429A"/>
    <w:rsid w:val="00D84309"/>
    <w:rsid w:val="00D84DB4"/>
    <w:rsid w:val="00D85B0F"/>
    <w:rsid w:val="00D8630C"/>
    <w:rsid w:val="00D86873"/>
    <w:rsid w:val="00D90A63"/>
    <w:rsid w:val="00D915E7"/>
    <w:rsid w:val="00D917E5"/>
    <w:rsid w:val="00D91A58"/>
    <w:rsid w:val="00D91BCB"/>
    <w:rsid w:val="00D91D1D"/>
    <w:rsid w:val="00D939C7"/>
    <w:rsid w:val="00D939F6"/>
    <w:rsid w:val="00D94C60"/>
    <w:rsid w:val="00D9541D"/>
    <w:rsid w:val="00D9547C"/>
    <w:rsid w:val="00D954E6"/>
    <w:rsid w:val="00D95DC0"/>
    <w:rsid w:val="00DA1458"/>
    <w:rsid w:val="00DA2F3D"/>
    <w:rsid w:val="00DA39F0"/>
    <w:rsid w:val="00DA3BED"/>
    <w:rsid w:val="00DA438B"/>
    <w:rsid w:val="00DA5C14"/>
    <w:rsid w:val="00DA5C3E"/>
    <w:rsid w:val="00DA73BE"/>
    <w:rsid w:val="00DB27BA"/>
    <w:rsid w:val="00DB3103"/>
    <w:rsid w:val="00DB427E"/>
    <w:rsid w:val="00DB43D8"/>
    <w:rsid w:val="00DB4F81"/>
    <w:rsid w:val="00DB4F84"/>
    <w:rsid w:val="00DB5527"/>
    <w:rsid w:val="00DB772F"/>
    <w:rsid w:val="00DB7775"/>
    <w:rsid w:val="00DC044B"/>
    <w:rsid w:val="00DC0731"/>
    <w:rsid w:val="00DC0CC5"/>
    <w:rsid w:val="00DC0E99"/>
    <w:rsid w:val="00DC341B"/>
    <w:rsid w:val="00DC4C1F"/>
    <w:rsid w:val="00DC5776"/>
    <w:rsid w:val="00DC720E"/>
    <w:rsid w:val="00DC733A"/>
    <w:rsid w:val="00DC7AEC"/>
    <w:rsid w:val="00DD0248"/>
    <w:rsid w:val="00DD3A27"/>
    <w:rsid w:val="00DD405A"/>
    <w:rsid w:val="00DD53B3"/>
    <w:rsid w:val="00DD558E"/>
    <w:rsid w:val="00DD5FDB"/>
    <w:rsid w:val="00DD68A7"/>
    <w:rsid w:val="00DD6964"/>
    <w:rsid w:val="00DD6B8A"/>
    <w:rsid w:val="00DD6D9D"/>
    <w:rsid w:val="00DE0DC5"/>
    <w:rsid w:val="00DE1845"/>
    <w:rsid w:val="00DE2514"/>
    <w:rsid w:val="00DE2945"/>
    <w:rsid w:val="00DE2F73"/>
    <w:rsid w:val="00DE371D"/>
    <w:rsid w:val="00DE571A"/>
    <w:rsid w:val="00DE5736"/>
    <w:rsid w:val="00DE578F"/>
    <w:rsid w:val="00DE6971"/>
    <w:rsid w:val="00DF2131"/>
    <w:rsid w:val="00DF42B4"/>
    <w:rsid w:val="00DF45B9"/>
    <w:rsid w:val="00DF478F"/>
    <w:rsid w:val="00DF5284"/>
    <w:rsid w:val="00DF5DCE"/>
    <w:rsid w:val="00E00164"/>
    <w:rsid w:val="00E01468"/>
    <w:rsid w:val="00E02B55"/>
    <w:rsid w:val="00E02C61"/>
    <w:rsid w:val="00E0331B"/>
    <w:rsid w:val="00E033C5"/>
    <w:rsid w:val="00E0591F"/>
    <w:rsid w:val="00E10BCB"/>
    <w:rsid w:val="00E125C3"/>
    <w:rsid w:val="00E12EB9"/>
    <w:rsid w:val="00E132E2"/>
    <w:rsid w:val="00E13445"/>
    <w:rsid w:val="00E142EE"/>
    <w:rsid w:val="00E1436A"/>
    <w:rsid w:val="00E147B7"/>
    <w:rsid w:val="00E147F3"/>
    <w:rsid w:val="00E15CB1"/>
    <w:rsid w:val="00E15D83"/>
    <w:rsid w:val="00E16118"/>
    <w:rsid w:val="00E1690E"/>
    <w:rsid w:val="00E20CC2"/>
    <w:rsid w:val="00E22045"/>
    <w:rsid w:val="00E22AFC"/>
    <w:rsid w:val="00E23368"/>
    <w:rsid w:val="00E242E2"/>
    <w:rsid w:val="00E24348"/>
    <w:rsid w:val="00E24BD7"/>
    <w:rsid w:val="00E26AC0"/>
    <w:rsid w:val="00E27996"/>
    <w:rsid w:val="00E303A4"/>
    <w:rsid w:val="00E31628"/>
    <w:rsid w:val="00E31FED"/>
    <w:rsid w:val="00E321B3"/>
    <w:rsid w:val="00E32EA4"/>
    <w:rsid w:val="00E33EF8"/>
    <w:rsid w:val="00E34302"/>
    <w:rsid w:val="00E35889"/>
    <w:rsid w:val="00E359BC"/>
    <w:rsid w:val="00E35B88"/>
    <w:rsid w:val="00E364B5"/>
    <w:rsid w:val="00E366B8"/>
    <w:rsid w:val="00E36E9C"/>
    <w:rsid w:val="00E36ECF"/>
    <w:rsid w:val="00E3789D"/>
    <w:rsid w:val="00E37C49"/>
    <w:rsid w:val="00E403B2"/>
    <w:rsid w:val="00E40724"/>
    <w:rsid w:val="00E40842"/>
    <w:rsid w:val="00E41035"/>
    <w:rsid w:val="00E418D6"/>
    <w:rsid w:val="00E41DE1"/>
    <w:rsid w:val="00E41FD2"/>
    <w:rsid w:val="00E42A37"/>
    <w:rsid w:val="00E43CF0"/>
    <w:rsid w:val="00E448C1"/>
    <w:rsid w:val="00E4503B"/>
    <w:rsid w:val="00E4595B"/>
    <w:rsid w:val="00E46234"/>
    <w:rsid w:val="00E46679"/>
    <w:rsid w:val="00E467F2"/>
    <w:rsid w:val="00E47953"/>
    <w:rsid w:val="00E47B80"/>
    <w:rsid w:val="00E5003F"/>
    <w:rsid w:val="00E51503"/>
    <w:rsid w:val="00E51A95"/>
    <w:rsid w:val="00E52024"/>
    <w:rsid w:val="00E534F5"/>
    <w:rsid w:val="00E54C8A"/>
    <w:rsid w:val="00E55477"/>
    <w:rsid w:val="00E55719"/>
    <w:rsid w:val="00E56140"/>
    <w:rsid w:val="00E57B3F"/>
    <w:rsid w:val="00E600EA"/>
    <w:rsid w:val="00E6011D"/>
    <w:rsid w:val="00E60C04"/>
    <w:rsid w:val="00E61433"/>
    <w:rsid w:val="00E65931"/>
    <w:rsid w:val="00E6594B"/>
    <w:rsid w:val="00E6598E"/>
    <w:rsid w:val="00E66006"/>
    <w:rsid w:val="00E66E4A"/>
    <w:rsid w:val="00E66EE2"/>
    <w:rsid w:val="00E6713F"/>
    <w:rsid w:val="00E67175"/>
    <w:rsid w:val="00E672A8"/>
    <w:rsid w:val="00E71716"/>
    <w:rsid w:val="00E72238"/>
    <w:rsid w:val="00E73D9C"/>
    <w:rsid w:val="00E74B44"/>
    <w:rsid w:val="00E750ED"/>
    <w:rsid w:val="00E753B8"/>
    <w:rsid w:val="00E755CA"/>
    <w:rsid w:val="00E76159"/>
    <w:rsid w:val="00E76683"/>
    <w:rsid w:val="00E7686F"/>
    <w:rsid w:val="00E80814"/>
    <w:rsid w:val="00E8103B"/>
    <w:rsid w:val="00E814E3"/>
    <w:rsid w:val="00E8175B"/>
    <w:rsid w:val="00E8227B"/>
    <w:rsid w:val="00E83026"/>
    <w:rsid w:val="00E85111"/>
    <w:rsid w:val="00E8597A"/>
    <w:rsid w:val="00E86AE2"/>
    <w:rsid w:val="00E86C0C"/>
    <w:rsid w:val="00E87035"/>
    <w:rsid w:val="00E87CD7"/>
    <w:rsid w:val="00E905EC"/>
    <w:rsid w:val="00E90C5F"/>
    <w:rsid w:val="00E91835"/>
    <w:rsid w:val="00E91C35"/>
    <w:rsid w:val="00E92616"/>
    <w:rsid w:val="00E9375E"/>
    <w:rsid w:val="00E938C8"/>
    <w:rsid w:val="00E93BDA"/>
    <w:rsid w:val="00E93D27"/>
    <w:rsid w:val="00E9410B"/>
    <w:rsid w:val="00E945F8"/>
    <w:rsid w:val="00E94ED4"/>
    <w:rsid w:val="00E9538A"/>
    <w:rsid w:val="00E95702"/>
    <w:rsid w:val="00E961E4"/>
    <w:rsid w:val="00EA0B31"/>
    <w:rsid w:val="00EA1120"/>
    <w:rsid w:val="00EA15A8"/>
    <w:rsid w:val="00EA15BF"/>
    <w:rsid w:val="00EA15F6"/>
    <w:rsid w:val="00EA1A02"/>
    <w:rsid w:val="00EA23BB"/>
    <w:rsid w:val="00EA311D"/>
    <w:rsid w:val="00EA4DE5"/>
    <w:rsid w:val="00EA5BFB"/>
    <w:rsid w:val="00EB0BD4"/>
    <w:rsid w:val="00EB19F7"/>
    <w:rsid w:val="00EB1B88"/>
    <w:rsid w:val="00EB2885"/>
    <w:rsid w:val="00EB32F4"/>
    <w:rsid w:val="00EB3DF1"/>
    <w:rsid w:val="00EB559C"/>
    <w:rsid w:val="00EB5B1D"/>
    <w:rsid w:val="00EC0100"/>
    <w:rsid w:val="00EC0808"/>
    <w:rsid w:val="00EC0852"/>
    <w:rsid w:val="00EC0FFC"/>
    <w:rsid w:val="00EC1FDD"/>
    <w:rsid w:val="00EC33D2"/>
    <w:rsid w:val="00EC3CB2"/>
    <w:rsid w:val="00EC3E6D"/>
    <w:rsid w:val="00EC426C"/>
    <w:rsid w:val="00EC5657"/>
    <w:rsid w:val="00EC686A"/>
    <w:rsid w:val="00ED3648"/>
    <w:rsid w:val="00ED389C"/>
    <w:rsid w:val="00ED38F2"/>
    <w:rsid w:val="00ED4B01"/>
    <w:rsid w:val="00ED52E0"/>
    <w:rsid w:val="00ED696B"/>
    <w:rsid w:val="00ED7D07"/>
    <w:rsid w:val="00EE0BC8"/>
    <w:rsid w:val="00EE1373"/>
    <w:rsid w:val="00EE60FE"/>
    <w:rsid w:val="00EE66D8"/>
    <w:rsid w:val="00EE6A59"/>
    <w:rsid w:val="00EE7574"/>
    <w:rsid w:val="00EF0C06"/>
    <w:rsid w:val="00EF22D2"/>
    <w:rsid w:val="00EF3960"/>
    <w:rsid w:val="00EF6DF8"/>
    <w:rsid w:val="00EF7894"/>
    <w:rsid w:val="00EF7F24"/>
    <w:rsid w:val="00F004A3"/>
    <w:rsid w:val="00F0093C"/>
    <w:rsid w:val="00F01325"/>
    <w:rsid w:val="00F02CAD"/>
    <w:rsid w:val="00F05468"/>
    <w:rsid w:val="00F068BF"/>
    <w:rsid w:val="00F10E2A"/>
    <w:rsid w:val="00F11BAB"/>
    <w:rsid w:val="00F11FF1"/>
    <w:rsid w:val="00F126CF"/>
    <w:rsid w:val="00F12D13"/>
    <w:rsid w:val="00F1311A"/>
    <w:rsid w:val="00F1591E"/>
    <w:rsid w:val="00F1732E"/>
    <w:rsid w:val="00F17576"/>
    <w:rsid w:val="00F20BCF"/>
    <w:rsid w:val="00F23115"/>
    <w:rsid w:val="00F24554"/>
    <w:rsid w:val="00F247EC"/>
    <w:rsid w:val="00F25AD9"/>
    <w:rsid w:val="00F25F47"/>
    <w:rsid w:val="00F26008"/>
    <w:rsid w:val="00F26412"/>
    <w:rsid w:val="00F26739"/>
    <w:rsid w:val="00F26D4D"/>
    <w:rsid w:val="00F30D93"/>
    <w:rsid w:val="00F3123A"/>
    <w:rsid w:val="00F31545"/>
    <w:rsid w:val="00F3389D"/>
    <w:rsid w:val="00F344BF"/>
    <w:rsid w:val="00F34B3A"/>
    <w:rsid w:val="00F356A3"/>
    <w:rsid w:val="00F358CB"/>
    <w:rsid w:val="00F37282"/>
    <w:rsid w:val="00F3737E"/>
    <w:rsid w:val="00F37E6C"/>
    <w:rsid w:val="00F4226D"/>
    <w:rsid w:val="00F42F6A"/>
    <w:rsid w:val="00F438CC"/>
    <w:rsid w:val="00F44833"/>
    <w:rsid w:val="00F44D55"/>
    <w:rsid w:val="00F45031"/>
    <w:rsid w:val="00F45256"/>
    <w:rsid w:val="00F45A24"/>
    <w:rsid w:val="00F46F60"/>
    <w:rsid w:val="00F47136"/>
    <w:rsid w:val="00F479CE"/>
    <w:rsid w:val="00F47CA8"/>
    <w:rsid w:val="00F47E28"/>
    <w:rsid w:val="00F5055E"/>
    <w:rsid w:val="00F54A6E"/>
    <w:rsid w:val="00F5668D"/>
    <w:rsid w:val="00F56D84"/>
    <w:rsid w:val="00F608E5"/>
    <w:rsid w:val="00F60F22"/>
    <w:rsid w:val="00F6150A"/>
    <w:rsid w:val="00F6168D"/>
    <w:rsid w:val="00F636C7"/>
    <w:rsid w:val="00F63AEA"/>
    <w:rsid w:val="00F6436F"/>
    <w:rsid w:val="00F64927"/>
    <w:rsid w:val="00F66802"/>
    <w:rsid w:val="00F668C0"/>
    <w:rsid w:val="00F66FF6"/>
    <w:rsid w:val="00F6717F"/>
    <w:rsid w:val="00F70E24"/>
    <w:rsid w:val="00F71064"/>
    <w:rsid w:val="00F71068"/>
    <w:rsid w:val="00F715B1"/>
    <w:rsid w:val="00F71F4D"/>
    <w:rsid w:val="00F71F54"/>
    <w:rsid w:val="00F7387C"/>
    <w:rsid w:val="00F74EAC"/>
    <w:rsid w:val="00F76378"/>
    <w:rsid w:val="00F7705A"/>
    <w:rsid w:val="00F77676"/>
    <w:rsid w:val="00F77D30"/>
    <w:rsid w:val="00F80D5D"/>
    <w:rsid w:val="00F8196E"/>
    <w:rsid w:val="00F819BE"/>
    <w:rsid w:val="00F82DC7"/>
    <w:rsid w:val="00F83A0C"/>
    <w:rsid w:val="00F85850"/>
    <w:rsid w:val="00F87ADC"/>
    <w:rsid w:val="00F90770"/>
    <w:rsid w:val="00F91F96"/>
    <w:rsid w:val="00F92534"/>
    <w:rsid w:val="00F942F2"/>
    <w:rsid w:val="00F95034"/>
    <w:rsid w:val="00F95349"/>
    <w:rsid w:val="00F9594C"/>
    <w:rsid w:val="00F9614F"/>
    <w:rsid w:val="00F96876"/>
    <w:rsid w:val="00F9708B"/>
    <w:rsid w:val="00F97702"/>
    <w:rsid w:val="00F978D6"/>
    <w:rsid w:val="00FA0A33"/>
    <w:rsid w:val="00FA0AEC"/>
    <w:rsid w:val="00FA1C47"/>
    <w:rsid w:val="00FA2155"/>
    <w:rsid w:val="00FA22D1"/>
    <w:rsid w:val="00FA2C63"/>
    <w:rsid w:val="00FA33FA"/>
    <w:rsid w:val="00FA348B"/>
    <w:rsid w:val="00FA34F0"/>
    <w:rsid w:val="00FA3E45"/>
    <w:rsid w:val="00FA6A83"/>
    <w:rsid w:val="00FA6F1B"/>
    <w:rsid w:val="00FA75FC"/>
    <w:rsid w:val="00FB014F"/>
    <w:rsid w:val="00FB4238"/>
    <w:rsid w:val="00FB4FB6"/>
    <w:rsid w:val="00FB53E7"/>
    <w:rsid w:val="00FB549A"/>
    <w:rsid w:val="00FB553E"/>
    <w:rsid w:val="00FB6655"/>
    <w:rsid w:val="00FB7150"/>
    <w:rsid w:val="00FB7994"/>
    <w:rsid w:val="00FB7ADD"/>
    <w:rsid w:val="00FC17B2"/>
    <w:rsid w:val="00FC194A"/>
    <w:rsid w:val="00FC2591"/>
    <w:rsid w:val="00FC3A97"/>
    <w:rsid w:val="00FC3F86"/>
    <w:rsid w:val="00FC4505"/>
    <w:rsid w:val="00FC4AAD"/>
    <w:rsid w:val="00FC526E"/>
    <w:rsid w:val="00FC55F1"/>
    <w:rsid w:val="00FC69DD"/>
    <w:rsid w:val="00FD192F"/>
    <w:rsid w:val="00FD1962"/>
    <w:rsid w:val="00FD1D39"/>
    <w:rsid w:val="00FD1DB9"/>
    <w:rsid w:val="00FD25CA"/>
    <w:rsid w:val="00FD3481"/>
    <w:rsid w:val="00FD34B7"/>
    <w:rsid w:val="00FD3EA5"/>
    <w:rsid w:val="00FD45C2"/>
    <w:rsid w:val="00FD6970"/>
    <w:rsid w:val="00FD6AD1"/>
    <w:rsid w:val="00FD6EED"/>
    <w:rsid w:val="00FD7598"/>
    <w:rsid w:val="00FD7832"/>
    <w:rsid w:val="00FD792C"/>
    <w:rsid w:val="00FE0312"/>
    <w:rsid w:val="00FE2E58"/>
    <w:rsid w:val="00FE3B7B"/>
    <w:rsid w:val="00FE597F"/>
    <w:rsid w:val="00FE69EB"/>
    <w:rsid w:val="00FE7E99"/>
    <w:rsid w:val="00FF0B6C"/>
    <w:rsid w:val="00FF0C39"/>
    <w:rsid w:val="00FF16D0"/>
    <w:rsid w:val="00FF1972"/>
    <w:rsid w:val="00FF1BAF"/>
    <w:rsid w:val="00FF26A9"/>
    <w:rsid w:val="00FF3070"/>
    <w:rsid w:val="00FF4EFE"/>
    <w:rsid w:val="00FF5006"/>
    <w:rsid w:val="00FF5419"/>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BF759921-FDD4-499D-A9F3-2F180D47B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2E58"/>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列出段落1,列表段落"/>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49716982">
      <w:bodyDiv w:val="1"/>
      <w:marLeft w:val="0"/>
      <w:marRight w:val="0"/>
      <w:marTop w:val="0"/>
      <w:marBottom w:val="0"/>
      <w:divBdr>
        <w:top w:val="none" w:sz="0" w:space="0" w:color="auto"/>
        <w:left w:val="none" w:sz="0" w:space="0" w:color="auto"/>
        <w:bottom w:val="none" w:sz="0" w:space="0" w:color="auto"/>
        <w:right w:val="none" w:sz="0" w:space="0" w:color="auto"/>
      </w:divBdr>
    </w:div>
    <w:div w:id="151220598">
      <w:bodyDiv w:val="1"/>
      <w:marLeft w:val="0"/>
      <w:marRight w:val="0"/>
      <w:marTop w:val="0"/>
      <w:marBottom w:val="0"/>
      <w:divBdr>
        <w:top w:val="none" w:sz="0" w:space="0" w:color="auto"/>
        <w:left w:val="none" w:sz="0" w:space="0" w:color="auto"/>
        <w:bottom w:val="none" w:sz="0" w:space="0" w:color="auto"/>
        <w:right w:val="none" w:sz="0" w:space="0" w:color="auto"/>
      </w:divBdr>
      <w:divsChild>
        <w:div w:id="1649700365">
          <w:marLeft w:val="0"/>
          <w:marRight w:val="0"/>
          <w:marTop w:val="0"/>
          <w:marBottom w:val="0"/>
          <w:divBdr>
            <w:top w:val="none" w:sz="0" w:space="0" w:color="auto"/>
            <w:left w:val="none" w:sz="0" w:space="0" w:color="auto"/>
            <w:bottom w:val="none" w:sz="0" w:space="0" w:color="auto"/>
            <w:right w:val="none" w:sz="0" w:space="0" w:color="auto"/>
          </w:divBdr>
          <w:divsChild>
            <w:div w:id="1103527774">
              <w:marLeft w:val="0"/>
              <w:marRight w:val="0"/>
              <w:marTop w:val="0"/>
              <w:marBottom w:val="0"/>
              <w:divBdr>
                <w:top w:val="none" w:sz="0" w:space="0" w:color="auto"/>
                <w:left w:val="none" w:sz="0" w:space="0" w:color="auto"/>
                <w:bottom w:val="none" w:sz="0" w:space="0" w:color="auto"/>
                <w:right w:val="none" w:sz="0" w:space="0" w:color="auto"/>
              </w:divBdr>
              <w:divsChild>
                <w:div w:id="1127895718">
                  <w:marLeft w:val="0"/>
                  <w:marRight w:val="0"/>
                  <w:marTop w:val="0"/>
                  <w:marBottom w:val="0"/>
                  <w:divBdr>
                    <w:top w:val="none" w:sz="0" w:space="0" w:color="auto"/>
                    <w:left w:val="none" w:sz="0" w:space="0" w:color="auto"/>
                    <w:bottom w:val="none" w:sz="0" w:space="0" w:color="auto"/>
                    <w:right w:val="none" w:sz="0" w:space="0" w:color="auto"/>
                  </w:divBdr>
                  <w:divsChild>
                    <w:div w:id="1754545144">
                      <w:marLeft w:val="0"/>
                      <w:marRight w:val="0"/>
                      <w:marTop w:val="0"/>
                      <w:marBottom w:val="0"/>
                      <w:divBdr>
                        <w:top w:val="none" w:sz="0" w:space="0" w:color="auto"/>
                        <w:left w:val="none" w:sz="0" w:space="0" w:color="auto"/>
                        <w:bottom w:val="none" w:sz="0" w:space="0" w:color="auto"/>
                        <w:right w:val="none" w:sz="0" w:space="0" w:color="auto"/>
                      </w:divBdr>
                      <w:divsChild>
                        <w:div w:id="330837725">
                          <w:marLeft w:val="0"/>
                          <w:marRight w:val="0"/>
                          <w:marTop w:val="0"/>
                          <w:marBottom w:val="0"/>
                          <w:divBdr>
                            <w:top w:val="none" w:sz="0" w:space="0" w:color="auto"/>
                            <w:left w:val="none" w:sz="0" w:space="0" w:color="auto"/>
                            <w:bottom w:val="none" w:sz="0" w:space="0" w:color="auto"/>
                            <w:right w:val="none" w:sz="0" w:space="0" w:color="auto"/>
                          </w:divBdr>
                          <w:divsChild>
                            <w:div w:id="9995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46527530">
      <w:bodyDiv w:val="1"/>
      <w:marLeft w:val="0"/>
      <w:marRight w:val="0"/>
      <w:marTop w:val="0"/>
      <w:marBottom w:val="0"/>
      <w:divBdr>
        <w:top w:val="none" w:sz="0" w:space="0" w:color="auto"/>
        <w:left w:val="none" w:sz="0" w:space="0" w:color="auto"/>
        <w:bottom w:val="none" w:sz="0" w:space="0" w:color="auto"/>
        <w:right w:val="none" w:sz="0" w:space="0" w:color="auto"/>
      </w:divBdr>
    </w:div>
    <w:div w:id="626470023">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46477805">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8685640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23356549">
      <w:bodyDiv w:val="1"/>
      <w:marLeft w:val="0"/>
      <w:marRight w:val="0"/>
      <w:marTop w:val="0"/>
      <w:marBottom w:val="0"/>
      <w:divBdr>
        <w:top w:val="none" w:sz="0" w:space="0" w:color="auto"/>
        <w:left w:val="none" w:sz="0" w:space="0" w:color="auto"/>
        <w:bottom w:val="none" w:sz="0" w:space="0" w:color="auto"/>
        <w:right w:val="none" w:sz="0" w:space="0" w:color="auto"/>
      </w:divBdr>
      <w:divsChild>
        <w:div w:id="515313059">
          <w:marLeft w:val="0"/>
          <w:marRight w:val="0"/>
          <w:marTop w:val="0"/>
          <w:marBottom w:val="0"/>
          <w:divBdr>
            <w:top w:val="none" w:sz="0" w:space="0" w:color="auto"/>
            <w:left w:val="none" w:sz="0" w:space="0" w:color="auto"/>
            <w:bottom w:val="none" w:sz="0" w:space="0" w:color="auto"/>
            <w:right w:val="none" w:sz="0" w:space="0" w:color="auto"/>
          </w:divBdr>
          <w:divsChild>
            <w:div w:id="505292173">
              <w:marLeft w:val="0"/>
              <w:marRight w:val="0"/>
              <w:marTop w:val="0"/>
              <w:marBottom w:val="0"/>
              <w:divBdr>
                <w:top w:val="none" w:sz="0" w:space="0" w:color="auto"/>
                <w:left w:val="none" w:sz="0" w:space="0" w:color="auto"/>
                <w:bottom w:val="none" w:sz="0" w:space="0" w:color="auto"/>
                <w:right w:val="none" w:sz="0" w:space="0" w:color="auto"/>
              </w:divBdr>
              <w:divsChild>
                <w:div w:id="1683773677">
                  <w:marLeft w:val="0"/>
                  <w:marRight w:val="0"/>
                  <w:marTop w:val="0"/>
                  <w:marBottom w:val="0"/>
                  <w:divBdr>
                    <w:top w:val="none" w:sz="0" w:space="0" w:color="auto"/>
                    <w:left w:val="none" w:sz="0" w:space="0" w:color="auto"/>
                    <w:bottom w:val="none" w:sz="0" w:space="0" w:color="auto"/>
                    <w:right w:val="none" w:sz="0" w:space="0" w:color="auto"/>
                  </w:divBdr>
                  <w:divsChild>
                    <w:div w:id="1342127404">
                      <w:marLeft w:val="0"/>
                      <w:marRight w:val="0"/>
                      <w:marTop w:val="0"/>
                      <w:marBottom w:val="0"/>
                      <w:divBdr>
                        <w:top w:val="none" w:sz="0" w:space="0" w:color="auto"/>
                        <w:left w:val="none" w:sz="0" w:space="0" w:color="auto"/>
                        <w:bottom w:val="none" w:sz="0" w:space="0" w:color="auto"/>
                        <w:right w:val="none" w:sz="0" w:space="0" w:color="auto"/>
                      </w:divBdr>
                      <w:divsChild>
                        <w:div w:id="1490515935">
                          <w:marLeft w:val="0"/>
                          <w:marRight w:val="0"/>
                          <w:marTop w:val="0"/>
                          <w:marBottom w:val="0"/>
                          <w:divBdr>
                            <w:top w:val="none" w:sz="0" w:space="0" w:color="auto"/>
                            <w:left w:val="none" w:sz="0" w:space="0" w:color="auto"/>
                            <w:bottom w:val="none" w:sz="0" w:space="0" w:color="auto"/>
                            <w:right w:val="none" w:sz="0" w:space="0" w:color="auto"/>
                          </w:divBdr>
                          <w:divsChild>
                            <w:div w:id="69770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3804187">
      <w:bodyDiv w:val="1"/>
      <w:marLeft w:val="0"/>
      <w:marRight w:val="0"/>
      <w:marTop w:val="0"/>
      <w:marBottom w:val="0"/>
      <w:divBdr>
        <w:top w:val="none" w:sz="0" w:space="0" w:color="auto"/>
        <w:left w:val="none" w:sz="0" w:space="0" w:color="auto"/>
        <w:bottom w:val="none" w:sz="0" w:space="0" w:color="auto"/>
        <w:right w:val="none" w:sz="0" w:space="0" w:color="auto"/>
      </w:divBdr>
      <w:divsChild>
        <w:div w:id="728647903">
          <w:marLeft w:val="0"/>
          <w:marRight w:val="0"/>
          <w:marTop w:val="0"/>
          <w:marBottom w:val="0"/>
          <w:divBdr>
            <w:top w:val="none" w:sz="0" w:space="0" w:color="auto"/>
            <w:left w:val="none" w:sz="0" w:space="0" w:color="auto"/>
            <w:bottom w:val="none" w:sz="0" w:space="0" w:color="auto"/>
            <w:right w:val="none" w:sz="0" w:space="0" w:color="auto"/>
          </w:divBdr>
          <w:divsChild>
            <w:div w:id="800879905">
              <w:marLeft w:val="0"/>
              <w:marRight w:val="0"/>
              <w:marTop w:val="0"/>
              <w:marBottom w:val="0"/>
              <w:divBdr>
                <w:top w:val="none" w:sz="0" w:space="0" w:color="auto"/>
                <w:left w:val="none" w:sz="0" w:space="0" w:color="auto"/>
                <w:bottom w:val="none" w:sz="0" w:space="0" w:color="auto"/>
                <w:right w:val="none" w:sz="0" w:space="0" w:color="auto"/>
              </w:divBdr>
              <w:divsChild>
                <w:div w:id="303243367">
                  <w:marLeft w:val="0"/>
                  <w:marRight w:val="0"/>
                  <w:marTop w:val="0"/>
                  <w:marBottom w:val="0"/>
                  <w:divBdr>
                    <w:top w:val="none" w:sz="0" w:space="0" w:color="auto"/>
                    <w:left w:val="none" w:sz="0" w:space="0" w:color="auto"/>
                    <w:bottom w:val="none" w:sz="0" w:space="0" w:color="auto"/>
                    <w:right w:val="none" w:sz="0" w:space="0" w:color="auto"/>
                  </w:divBdr>
                  <w:divsChild>
                    <w:div w:id="1117870327">
                      <w:marLeft w:val="0"/>
                      <w:marRight w:val="0"/>
                      <w:marTop w:val="0"/>
                      <w:marBottom w:val="0"/>
                      <w:divBdr>
                        <w:top w:val="none" w:sz="0" w:space="0" w:color="auto"/>
                        <w:left w:val="none" w:sz="0" w:space="0" w:color="auto"/>
                        <w:bottom w:val="none" w:sz="0" w:space="0" w:color="auto"/>
                        <w:right w:val="none" w:sz="0" w:space="0" w:color="auto"/>
                      </w:divBdr>
                      <w:divsChild>
                        <w:div w:id="334848255">
                          <w:marLeft w:val="0"/>
                          <w:marRight w:val="0"/>
                          <w:marTop w:val="0"/>
                          <w:marBottom w:val="0"/>
                          <w:divBdr>
                            <w:top w:val="none" w:sz="0" w:space="0" w:color="auto"/>
                            <w:left w:val="none" w:sz="0" w:space="0" w:color="auto"/>
                            <w:bottom w:val="none" w:sz="0" w:space="0" w:color="auto"/>
                            <w:right w:val="none" w:sz="0" w:space="0" w:color="auto"/>
                          </w:divBdr>
                          <w:divsChild>
                            <w:div w:id="141362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8703620">
      <w:bodyDiv w:val="1"/>
      <w:marLeft w:val="0"/>
      <w:marRight w:val="0"/>
      <w:marTop w:val="0"/>
      <w:marBottom w:val="0"/>
      <w:divBdr>
        <w:top w:val="none" w:sz="0" w:space="0" w:color="auto"/>
        <w:left w:val="none" w:sz="0" w:space="0" w:color="auto"/>
        <w:bottom w:val="none" w:sz="0" w:space="0" w:color="auto"/>
        <w:right w:val="none" w:sz="0" w:space="0" w:color="auto"/>
      </w:divBdr>
      <w:divsChild>
        <w:div w:id="2024434500">
          <w:marLeft w:val="0"/>
          <w:marRight w:val="0"/>
          <w:marTop w:val="0"/>
          <w:marBottom w:val="0"/>
          <w:divBdr>
            <w:top w:val="none" w:sz="0" w:space="0" w:color="auto"/>
            <w:left w:val="none" w:sz="0" w:space="0" w:color="auto"/>
            <w:bottom w:val="none" w:sz="0" w:space="0" w:color="auto"/>
            <w:right w:val="none" w:sz="0" w:space="0" w:color="auto"/>
          </w:divBdr>
          <w:divsChild>
            <w:div w:id="2023434806">
              <w:marLeft w:val="0"/>
              <w:marRight w:val="0"/>
              <w:marTop w:val="0"/>
              <w:marBottom w:val="0"/>
              <w:divBdr>
                <w:top w:val="none" w:sz="0" w:space="0" w:color="auto"/>
                <w:left w:val="none" w:sz="0" w:space="0" w:color="auto"/>
                <w:bottom w:val="none" w:sz="0" w:space="0" w:color="auto"/>
                <w:right w:val="none" w:sz="0" w:space="0" w:color="auto"/>
              </w:divBdr>
              <w:divsChild>
                <w:div w:id="1939437649">
                  <w:marLeft w:val="0"/>
                  <w:marRight w:val="0"/>
                  <w:marTop w:val="0"/>
                  <w:marBottom w:val="0"/>
                  <w:divBdr>
                    <w:top w:val="none" w:sz="0" w:space="0" w:color="auto"/>
                    <w:left w:val="none" w:sz="0" w:space="0" w:color="auto"/>
                    <w:bottom w:val="none" w:sz="0" w:space="0" w:color="auto"/>
                    <w:right w:val="none" w:sz="0" w:space="0" w:color="auto"/>
                  </w:divBdr>
                  <w:divsChild>
                    <w:div w:id="1157720852">
                      <w:marLeft w:val="0"/>
                      <w:marRight w:val="0"/>
                      <w:marTop w:val="0"/>
                      <w:marBottom w:val="0"/>
                      <w:divBdr>
                        <w:top w:val="none" w:sz="0" w:space="0" w:color="auto"/>
                        <w:left w:val="none" w:sz="0" w:space="0" w:color="auto"/>
                        <w:bottom w:val="none" w:sz="0" w:space="0" w:color="auto"/>
                        <w:right w:val="none" w:sz="0" w:space="0" w:color="auto"/>
                      </w:divBdr>
                      <w:divsChild>
                        <w:div w:id="1642073961">
                          <w:marLeft w:val="0"/>
                          <w:marRight w:val="0"/>
                          <w:marTop w:val="0"/>
                          <w:marBottom w:val="0"/>
                          <w:divBdr>
                            <w:top w:val="none" w:sz="0" w:space="0" w:color="auto"/>
                            <w:left w:val="none" w:sz="0" w:space="0" w:color="auto"/>
                            <w:bottom w:val="none" w:sz="0" w:space="0" w:color="auto"/>
                            <w:right w:val="none" w:sz="0" w:space="0" w:color="auto"/>
                          </w:divBdr>
                          <w:divsChild>
                            <w:div w:id="157693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10108983">
      <w:bodyDiv w:val="1"/>
      <w:marLeft w:val="0"/>
      <w:marRight w:val="0"/>
      <w:marTop w:val="0"/>
      <w:marBottom w:val="0"/>
      <w:divBdr>
        <w:top w:val="none" w:sz="0" w:space="0" w:color="auto"/>
        <w:left w:val="none" w:sz="0" w:space="0" w:color="auto"/>
        <w:bottom w:val="none" w:sz="0" w:space="0" w:color="auto"/>
        <w:right w:val="none" w:sz="0" w:space="0" w:color="auto"/>
      </w:divBdr>
      <w:divsChild>
        <w:div w:id="1466317189">
          <w:marLeft w:val="0"/>
          <w:marRight w:val="0"/>
          <w:marTop w:val="0"/>
          <w:marBottom w:val="0"/>
          <w:divBdr>
            <w:top w:val="none" w:sz="0" w:space="0" w:color="auto"/>
            <w:left w:val="none" w:sz="0" w:space="0" w:color="auto"/>
            <w:bottom w:val="none" w:sz="0" w:space="0" w:color="auto"/>
            <w:right w:val="none" w:sz="0" w:space="0" w:color="auto"/>
          </w:divBdr>
          <w:divsChild>
            <w:div w:id="1866212247">
              <w:marLeft w:val="0"/>
              <w:marRight w:val="0"/>
              <w:marTop w:val="0"/>
              <w:marBottom w:val="0"/>
              <w:divBdr>
                <w:top w:val="none" w:sz="0" w:space="0" w:color="auto"/>
                <w:left w:val="none" w:sz="0" w:space="0" w:color="auto"/>
                <w:bottom w:val="none" w:sz="0" w:space="0" w:color="auto"/>
                <w:right w:val="none" w:sz="0" w:space="0" w:color="auto"/>
              </w:divBdr>
              <w:divsChild>
                <w:div w:id="1061946931">
                  <w:marLeft w:val="0"/>
                  <w:marRight w:val="0"/>
                  <w:marTop w:val="0"/>
                  <w:marBottom w:val="0"/>
                  <w:divBdr>
                    <w:top w:val="none" w:sz="0" w:space="0" w:color="auto"/>
                    <w:left w:val="none" w:sz="0" w:space="0" w:color="auto"/>
                    <w:bottom w:val="none" w:sz="0" w:space="0" w:color="auto"/>
                    <w:right w:val="none" w:sz="0" w:space="0" w:color="auto"/>
                  </w:divBdr>
                  <w:divsChild>
                    <w:div w:id="388309870">
                      <w:marLeft w:val="0"/>
                      <w:marRight w:val="0"/>
                      <w:marTop w:val="0"/>
                      <w:marBottom w:val="0"/>
                      <w:divBdr>
                        <w:top w:val="none" w:sz="0" w:space="0" w:color="auto"/>
                        <w:left w:val="none" w:sz="0" w:space="0" w:color="auto"/>
                        <w:bottom w:val="none" w:sz="0" w:space="0" w:color="auto"/>
                        <w:right w:val="none" w:sz="0" w:space="0" w:color="auto"/>
                      </w:divBdr>
                      <w:divsChild>
                        <w:div w:id="1916669019">
                          <w:marLeft w:val="0"/>
                          <w:marRight w:val="0"/>
                          <w:marTop w:val="0"/>
                          <w:marBottom w:val="0"/>
                          <w:divBdr>
                            <w:top w:val="none" w:sz="0" w:space="0" w:color="auto"/>
                            <w:left w:val="none" w:sz="0" w:space="0" w:color="auto"/>
                            <w:bottom w:val="none" w:sz="0" w:space="0" w:color="auto"/>
                            <w:right w:val="none" w:sz="0" w:space="0" w:color="auto"/>
                          </w:divBdr>
                          <w:divsChild>
                            <w:div w:id="182073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0884981">
      <w:bodyDiv w:val="1"/>
      <w:marLeft w:val="0"/>
      <w:marRight w:val="0"/>
      <w:marTop w:val="0"/>
      <w:marBottom w:val="0"/>
      <w:divBdr>
        <w:top w:val="none" w:sz="0" w:space="0" w:color="auto"/>
        <w:left w:val="none" w:sz="0" w:space="0" w:color="auto"/>
        <w:bottom w:val="none" w:sz="0" w:space="0" w:color="auto"/>
        <w:right w:val="none" w:sz="0" w:space="0" w:color="auto"/>
      </w:divBdr>
      <w:divsChild>
        <w:div w:id="1199397820">
          <w:marLeft w:val="0"/>
          <w:marRight w:val="0"/>
          <w:marTop w:val="0"/>
          <w:marBottom w:val="0"/>
          <w:divBdr>
            <w:top w:val="none" w:sz="0" w:space="0" w:color="auto"/>
            <w:left w:val="none" w:sz="0" w:space="0" w:color="auto"/>
            <w:bottom w:val="none" w:sz="0" w:space="0" w:color="auto"/>
            <w:right w:val="none" w:sz="0" w:space="0" w:color="auto"/>
          </w:divBdr>
          <w:divsChild>
            <w:div w:id="976376372">
              <w:marLeft w:val="0"/>
              <w:marRight w:val="0"/>
              <w:marTop w:val="0"/>
              <w:marBottom w:val="0"/>
              <w:divBdr>
                <w:top w:val="none" w:sz="0" w:space="0" w:color="auto"/>
                <w:left w:val="none" w:sz="0" w:space="0" w:color="auto"/>
                <w:bottom w:val="none" w:sz="0" w:space="0" w:color="auto"/>
                <w:right w:val="none" w:sz="0" w:space="0" w:color="auto"/>
              </w:divBdr>
              <w:divsChild>
                <w:div w:id="2030640265">
                  <w:marLeft w:val="0"/>
                  <w:marRight w:val="0"/>
                  <w:marTop w:val="0"/>
                  <w:marBottom w:val="0"/>
                  <w:divBdr>
                    <w:top w:val="none" w:sz="0" w:space="0" w:color="auto"/>
                    <w:left w:val="none" w:sz="0" w:space="0" w:color="auto"/>
                    <w:bottom w:val="none" w:sz="0" w:space="0" w:color="auto"/>
                    <w:right w:val="none" w:sz="0" w:space="0" w:color="auto"/>
                  </w:divBdr>
                  <w:divsChild>
                    <w:div w:id="264045805">
                      <w:marLeft w:val="0"/>
                      <w:marRight w:val="0"/>
                      <w:marTop w:val="0"/>
                      <w:marBottom w:val="0"/>
                      <w:divBdr>
                        <w:top w:val="none" w:sz="0" w:space="0" w:color="auto"/>
                        <w:left w:val="none" w:sz="0" w:space="0" w:color="auto"/>
                        <w:bottom w:val="none" w:sz="0" w:space="0" w:color="auto"/>
                        <w:right w:val="none" w:sz="0" w:space="0" w:color="auto"/>
                      </w:divBdr>
                      <w:divsChild>
                        <w:div w:id="1634562029">
                          <w:marLeft w:val="0"/>
                          <w:marRight w:val="0"/>
                          <w:marTop w:val="0"/>
                          <w:marBottom w:val="0"/>
                          <w:divBdr>
                            <w:top w:val="none" w:sz="0" w:space="0" w:color="auto"/>
                            <w:left w:val="none" w:sz="0" w:space="0" w:color="auto"/>
                            <w:bottom w:val="none" w:sz="0" w:space="0" w:color="auto"/>
                            <w:right w:val="none" w:sz="0" w:space="0" w:color="auto"/>
                          </w:divBdr>
                          <w:divsChild>
                            <w:div w:id="202678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532800">
      <w:bodyDiv w:val="1"/>
      <w:marLeft w:val="0"/>
      <w:marRight w:val="0"/>
      <w:marTop w:val="0"/>
      <w:marBottom w:val="0"/>
      <w:divBdr>
        <w:top w:val="none" w:sz="0" w:space="0" w:color="auto"/>
        <w:left w:val="none" w:sz="0" w:space="0" w:color="auto"/>
        <w:bottom w:val="none" w:sz="0" w:space="0" w:color="auto"/>
        <w:right w:val="none" w:sz="0" w:space="0" w:color="auto"/>
      </w:divBdr>
      <w:divsChild>
        <w:div w:id="176383222">
          <w:marLeft w:val="0"/>
          <w:marRight w:val="0"/>
          <w:marTop w:val="0"/>
          <w:marBottom w:val="0"/>
          <w:divBdr>
            <w:top w:val="none" w:sz="0" w:space="0" w:color="auto"/>
            <w:left w:val="none" w:sz="0" w:space="0" w:color="auto"/>
            <w:bottom w:val="none" w:sz="0" w:space="0" w:color="auto"/>
            <w:right w:val="none" w:sz="0" w:space="0" w:color="auto"/>
          </w:divBdr>
          <w:divsChild>
            <w:div w:id="557592126">
              <w:marLeft w:val="0"/>
              <w:marRight w:val="0"/>
              <w:marTop w:val="0"/>
              <w:marBottom w:val="0"/>
              <w:divBdr>
                <w:top w:val="none" w:sz="0" w:space="0" w:color="auto"/>
                <w:left w:val="none" w:sz="0" w:space="0" w:color="auto"/>
                <w:bottom w:val="none" w:sz="0" w:space="0" w:color="auto"/>
                <w:right w:val="none" w:sz="0" w:space="0" w:color="auto"/>
              </w:divBdr>
              <w:divsChild>
                <w:div w:id="256332827">
                  <w:marLeft w:val="0"/>
                  <w:marRight w:val="0"/>
                  <w:marTop w:val="0"/>
                  <w:marBottom w:val="0"/>
                  <w:divBdr>
                    <w:top w:val="none" w:sz="0" w:space="0" w:color="auto"/>
                    <w:left w:val="none" w:sz="0" w:space="0" w:color="auto"/>
                    <w:bottom w:val="none" w:sz="0" w:space="0" w:color="auto"/>
                    <w:right w:val="none" w:sz="0" w:space="0" w:color="auto"/>
                  </w:divBdr>
                  <w:divsChild>
                    <w:div w:id="903414127">
                      <w:marLeft w:val="0"/>
                      <w:marRight w:val="0"/>
                      <w:marTop w:val="0"/>
                      <w:marBottom w:val="0"/>
                      <w:divBdr>
                        <w:top w:val="none" w:sz="0" w:space="0" w:color="auto"/>
                        <w:left w:val="none" w:sz="0" w:space="0" w:color="auto"/>
                        <w:bottom w:val="none" w:sz="0" w:space="0" w:color="auto"/>
                        <w:right w:val="none" w:sz="0" w:space="0" w:color="auto"/>
                      </w:divBdr>
                      <w:divsChild>
                        <w:div w:id="777330421">
                          <w:marLeft w:val="0"/>
                          <w:marRight w:val="0"/>
                          <w:marTop w:val="0"/>
                          <w:marBottom w:val="0"/>
                          <w:divBdr>
                            <w:top w:val="none" w:sz="0" w:space="0" w:color="auto"/>
                            <w:left w:val="none" w:sz="0" w:space="0" w:color="auto"/>
                            <w:bottom w:val="none" w:sz="0" w:space="0" w:color="auto"/>
                            <w:right w:val="none" w:sz="0" w:space="0" w:color="auto"/>
                          </w:divBdr>
                          <w:divsChild>
                            <w:div w:id="74403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39665734">
      <w:bodyDiv w:val="1"/>
      <w:marLeft w:val="0"/>
      <w:marRight w:val="0"/>
      <w:marTop w:val="0"/>
      <w:marBottom w:val="0"/>
      <w:divBdr>
        <w:top w:val="none" w:sz="0" w:space="0" w:color="auto"/>
        <w:left w:val="none" w:sz="0" w:space="0" w:color="auto"/>
        <w:bottom w:val="none" w:sz="0" w:space="0" w:color="auto"/>
        <w:right w:val="none" w:sz="0" w:space="0" w:color="auto"/>
      </w:divBdr>
      <w:divsChild>
        <w:div w:id="1067537052">
          <w:marLeft w:val="0"/>
          <w:marRight w:val="0"/>
          <w:marTop w:val="0"/>
          <w:marBottom w:val="0"/>
          <w:divBdr>
            <w:top w:val="none" w:sz="0" w:space="0" w:color="auto"/>
            <w:left w:val="none" w:sz="0" w:space="0" w:color="auto"/>
            <w:bottom w:val="none" w:sz="0" w:space="0" w:color="auto"/>
            <w:right w:val="none" w:sz="0" w:space="0" w:color="auto"/>
          </w:divBdr>
          <w:divsChild>
            <w:div w:id="1330446441">
              <w:marLeft w:val="0"/>
              <w:marRight w:val="0"/>
              <w:marTop w:val="0"/>
              <w:marBottom w:val="0"/>
              <w:divBdr>
                <w:top w:val="none" w:sz="0" w:space="0" w:color="auto"/>
                <w:left w:val="none" w:sz="0" w:space="0" w:color="auto"/>
                <w:bottom w:val="none" w:sz="0" w:space="0" w:color="auto"/>
                <w:right w:val="none" w:sz="0" w:space="0" w:color="auto"/>
              </w:divBdr>
              <w:divsChild>
                <w:div w:id="997727906">
                  <w:marLeft w:val="0"/>
                  <w:marRight w:val="0"/>
                  <w:marTop w:val="0"/>
                  <w:marBottom w:val="0"/>
                  <w:divBdr>
                    <w:top w:val="none" w:sz="0" w:space="0" w:color="auto"/>
                    <w:left w:val="none" w:sz="0" w:space="0" w:color="auto"/>
                    <w:bottom w:val="none" w:sz="0" w:space="0" w:color="auto"/>
                    <w:right w:val="none" w:sz="0" w:space="0" w:color="auto"/>
                  </w:divBdr>
                  <w:divsChild>
                    <w:div w:id="257950458">
                      <w:marLeft w:val="0"/>
                      <w:marRight w:val="0"/>
                      <w:marTop w:val="0"/>
                      <w:marBottom w:val="0"/>
                      <w:divBdr>
                        <w:top w:val="none" w:sz="0" w:space="0" w:color="auto"/>
                        <w:left w:val="none" w:sz="0" w:space="0" w:color="auto"/>
                        <w:bottom w:val="none" w:sz="0" w:space="0" w:color="auto"/>
                        <w:right w:val="none" w:sz="0" w:space="0" w:color="auto"/>
                      </w:divBdr>
                      <w:divsChild>
                        <w:div w:id="2076926406">
                          <w:marLeft w:val="0"/>
                          <w:marRight w:val="0"/>
                          <w:marTop w:val="0"/>
                          <w:marBottom w:val="0"/>
                          <w:divBdr>
                            <w:top w:val="none" w:sz="0" w:space="0" w:color="auto"/>
                            <w:left w:val="none" w:sz="0" w:space="0" w:color="auto"/>
                            <w:bottom w:val="none" w:sz="0" w:space="0" w:color="auto"/>
                            <w:right w:val="none" w:sz="0" w:space="0" w:color="auto"/>
                          </w:divBdr>
                          <w:divsChild>
                            <w:div w:id="113371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223973">
      <w:bodyDiv w:val="1"/>
      <w:marLeft w:val="0"/>
      <w:marRight w:val="0"/>
      <w:marTop w:val="0"/>
      <w:marBottom w:val="0"/>
      <w:divBdr>
        <w:top w:val="none" w:sz="0" w:space="0" w:color="auto"/>
        <w:left w:val="none" w:sz="0" w:space="0" w:color="auto"/>
        <w:bottom w:val="none" w:sz="0" w:space="0" w:color="auto"/>
        <w:right w:val="none" w:sz="0" w:space="0" w:color="auto"/>
      </w:divBdr>
      <w:divsChild>
        <w:div w:id="1204060061">
          <w:marLeft w:val="0"/>
          <w:marRight w:val="0"/>
          <w:marTop w:val="0"/>
          <w:marBottom w:val="0"/>
          <w:divBdr>
            <w:top w:val="none" w:sz="0" w:space="0" w:color="auto"/>
            <w:left w:val="none" w:sz="0" w:space="0" w:color="auto"/>
            <w:bottom w:val="none" w:sz="0" w:space="0" w:color="auto"/>
            <w:right w:val="none" w:sz="0" w:space="0" w:color="auto"/>
          </w:divBdr>
          <w:divsChild>
            <w:div w:id="691996381">
              <w:marLeft w:val="0"/>
              <w:marRight w:val="0"/>
              <w:marTop w:val="0"/>
              <w:marBottom w:val="0"/>
              <w:divBdr>
                <w:top w:val="none" w:sz="0" w:space="0" w:color="auto"/>
                <w:left w:val="none" w:sz="0" w:space="0" w:color="auto"/>
                <w:bottom w:val="none" w:sz="0" w:space="0" w:color="auto"/>
                <w:right w:val="none" w:sz="0" w:space="0" w:color="auto"/>
              </w:divBdr>
              <w:divsChild>
                <w:div w:id="2029090378">
                  <w:marLeft w:val="0"/>
                  <w:marRight w:val="0"/>
                  <w:marTop w:val="0"/>
                  <w:marBottom w:val="0"/>
                  <w:divBdr>
                    <w:top w:val="none" w:sz="0" w:space="0" w:color="auto"/>
                    <w:left w:val="none" w:sz="0" w:space="0" w:color="auto"/>
                    <w:bottom w:val="none" w:sz="0" w:space="0" w:color="auto"/>
                    <w:right w:val="none" w:sz="0" w:space="0" w:color="auto"/>
                  </w:divBdr>
                  <w:divsChild>
                    <w:div w:id="150290459">
                      <w:marLeft w:val="0"/>
                      <w:marRight w:val="0"/>
                      <w:marTop w:val="0"/>
                      <w:marBottom w:val="0"/>
                      <w:divBdr>
                        <w:top w:val="none" w:sz="0" w:space="0" w:color="auto"/>
                        <w:left w:val="none" w:sz="0" w:space="0" w:color="auto"/>
                        <w:bottom w:val="none" w:sz="0" w:space="0" w:color="auto"/>
                        <w:right w:val="none" w:sz="0" w:space="0" w:color="auto"/>
                      </w:divBdr>
                      <w:divsChild>
                        <w:div w:id="522130667">
                          <w:marLeft w:val="0"/>
                          <w:marRight w:val="0"/>
                          <w:marTop w:val="0"/>
                          <w:marBottom w:val="0"/>
                          <w:divBdr>
                            <w:top w:val="none" w:sz="0" w:space="0" w:color="auto"/>
                            <w:left w:val="none" w:sz="0" w:space="0" w:color="auto"/>
                            <w:bottom w:val="none" w:sz="0" w:space="0" w:color="auto"/>
                            <w:right w:val="none" w:sz="0" w:space="0" w:color="auto"/>
                          </w:divBdr>
                          <w:divsChild>
                            <w:div w:id="6576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39602037">
      <w:bodyDiv w:val="1"/>
      <w:marLeft w:val="0"/>
      <w:marRight w:val="0"/>
      <w:marTop w:val="0"/>
      <w:marBottom w:val="0"/>
      <w:divBdr>
        <w:top w:val="none" w:sz="0" w:space="0" w:color="auto"/>
        <w:left w:val="none" w:sz="0" w:space="0" w:color="auto"/>
        <w:bottom w:val="none" w:sz="0" w:space="0" w:color="auto"/>
        <w:right w:val="none" w:sz="0" w:space="0" w:color="auto"/>
      </w:divBdr>
      <w:divsChild>
        <w:div w:id="1714765164">
          <w:marLeft w:val="0"/>
          <w:marRight w:val="0"/>
          <w:marTop w:val="0"/>
          <w:marBottom w:val="0"/>
          <w:divBdr>
            <w:top w:val="none" w:sz="0" w:space="0" w:color="auto"/>
            <w:left w:val="none" w:sz="0" w:space="0" w:color="auto"/>
            <w:bottom w:val="none" w:sz="0" w:space="0" w:color="auto"/>
            <w:right w:val="none" w:sz="0" w:space="0" w:color="auto"/>
          </w:divBdr>
          <w:divsChild>
            <w:div w:id="1916357076">
              <w:marLeft w:val="0"/>
              <w:marRight w:val="0"/>
              <w:marTop w:val="0"/>
              <w:marBottom w:val="0"/>
              <w:divBdr>
                <w:top w:val="none" w:sz="0" w:space="0" w:color="auto"/>
                <w:left w:val="none" w:sz="0" w:space="0" w:color="auto"/>
                <w:bottom w:val="none" w:sz="0" w:space="0" w:color="auto"/>
                <w:right w:val="none" w:sz="0" w:space="0" w:color="auto"/>
              </w:divBdr>
              <w:divsChild>
                <w:div w:id="962883485">
                  <w:marLeft w:val="0"/>
                  <w:marRight w:val="0"/>
                  <w:marTop w:val="0"/>
                  <w:marBottom w:val="0"/>
                  <w:divBdr>
                    <w:top w:val="none" w:sz="0" w:space="0" w:color="auto"/>
                    <w:left w:val="none" w:sz="0" w:space="0" w:color="auto"/>
                    <w:bottom w:val="none" w:sz="0" w:space="0" w:color="auto"/>
                    <w:right w:val="none" w:sz="0" w:space="0" w:color="auto"/>
                  </w:divBdr>
                  <w:divsChild>
                    <w:div w:id="1388987592">
                      <w:marLeft w:val="0"/>
                      <w:marRight w:val="0"/>
                      <w:marTop w:val="0"/>
                      <w:marBottom w:val="0"/>
                      <w:divBdr>
                        <w:top w:val="none" w:sz="0" w:space="0" w:color="auto"/>
                        <w:left w:val="none" w:sz="0" w:space="0" w:color="auto"/>
                        <w:bottom w:val="none" w:sz="0" w:space="0" w:color="auto"/>
                        <w:right w:val="none" w:sz="0" w:space="0" w:color="auto"/>
                      </w:divBdr>
                      <w:divsChild>
                        <w:div w:id="590435276">
                          <w:marLeft w:val="0"/>
                          <w:marRight w:val="0"/>
                          <w:marTop w:val="0"/>
                          <w:marBottom w:val="0"/>
                          <w:divBdr>
                            <w:top w:val="none" w:sz="0" w:space="0" w:color="auto"/>
                            <w:left w:val="none" w:sz="0" w:space="0" w:color="auto"/>
                            <w:bottom w:val="none" w:sz="0" w:space="0" w:color="auto"/>
                            <w:right w:val="none" w:sz="0" w:space="0" w:color="auto"/>
                          </w:divBdr>
                          <w:divsChild>
                            <w:div w:id="21485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53427378">
      <w:bodyDiv w:val="1"/>
      <w:marLeft w:val="0"/>
      <w:marRight w:val="0"/>
      <w:marTop w:val="0"/>
      <w:marBottom w:val="0"/>
      <w:divBdr>
        <w:top w:val="none" w:sz="0" w:space="0" w:color="auto"/>
        <w:left w:val="none" w:sz="0" w:space="0" w:color="auto"/>
        <w:bottom w:val="none" w:sz="0" w:space="0" w:color="auto"/>
        <w:right w:val="none" w:sz="0" w:space="0" w:color="auto"/>
      </w:divBdr>
      <w:divsChild>
        <w:div w:id="1902475362">
          <w:marLeft w:val="0"/>
          <w:marRight w:val="0"/>
          <w:marTop w:val="0"/>
          <w:marBottom w:val="0"/>
          <w:divBdr>
            <w:top w:val="none" w:sz="0" w:space="0" w:color="auto"/>
            <w:left w:val="none" w:sz="0" w:space="0" w:color="auto"/>
            <w:bottom w:val="none" w:sz="0" w:space="0" w:color="auto"/>
            <w:right w:val="none" w:sz="0" w:space="0" w:color="auto"/>
          </w:divBdr>
          <w:divsChild>
            <w:div w:id="1235630437">
              <w:marLeft w:val="0"/>
              <w:marRight w:val="0"/>
              <w:marTop w:val="0"/>
              <w:marBottom w:val="0"/>
              <w:divBdr>
                <w:top w:val="none" w:sz="0" w:space="0" w:color="auto"/>
                <w:left w:val="none" w:sz="0" w:space="0" w:color="auto"/>
                <w:bottom w:val="none" w:sz="0" w:space="0" w:color="auto"/>
                <w:right w:val="none" w:sz="0" w:space="0" w:color="auto"/>
              </w:divBdr>
              <w:divsChild>
                <w:div w:id="1356888661">
                  <w:marLeft w:val="0"/>
                  <w:marRight w:val="0"/>
                  <w:marTop w:val="0"/>
                  <w:marBottom w:val="0"/>
                  <w:divBdr>
                    <w:top w:val="none" w:sz="0" w:space="0" w:color="auto"/>
                    <w:left w:val="none" w:sz="0" w:space="0" w:color="auto"/>
                    <w:bottom w:val="none" w:sz="0" w:space="0" w:color="auto"/>
                    <w:right w:val="none" w:sz="0" w:space="0" w:color="auto"/>
                  </w:divBdr>
                  <w:divsChild>
                    <w:div w:id="942881958">
                      <w:marLeft w:val="0"/>
                      <w:marRight w:val="0"/>
                      <w:marTop w:val="0"/>
                      <w:marBottom w:val="0"/>
                      <w:divBdr>
                        <w:top w:val="none" w:sz="0" w:space="0" w:color="auto"/>
                        <w:left w:val="none" w:sz="0" w:space="0" w:color="auto"/>
                        <w:bottom w:val="none" w:sz="0" w:space="0" w:color="auto"/>
                        <w:right w:val="none" w:sz="0" w:space="0" w:color="auto"/>
                      </w:divBdr>
                      <w:divsChild>
                        <w:div w:id="1736195665">
                          <w:marLeft w:val="0"/>
                          <w:marRight w:val="0"/>
                          <w:marTop w:val="0"/>
                          <w:marBottom w:val="0"/>
                          <w:divBdr>
                            <w:top w:val="none" w:sz="0" w:space="0" w:color="auto"/>
                            <w:left w:val="none" w:sz="0" w:space="0" w:color="auto"/>
                            <w:bottom w:val="none" w:sz="0" w:space="0" w:color="auto"/>
                            <w:right w:val="none" w:sz="0" w:space="0" w:color="auto"/>
                          </w:divBdr>
                          <w:divsChild>
                            <w:div w:id="153453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81616190">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26397551">
      <w:bodyDiv w:val="1"/>
      <w:marLeft w:val="0"/>
      <w:marRight w:val="0"/>
      <w:marTop w:val="0"/>
      <w:marBottom w:val="0"/>
      <w:divBdr>
        <w:top w:val="none" w:sz="0" w:space="0" w:color="auto"/>
        <w:left w:val="none" w:sz="0" w:space="0" w:color="auto"/>
        <w:bottom w:val="none" w:sz="0" w:space="0" w:color="auto"/>
        <w:right w:val="none" w:sz="0" w:space="0" w:color="auto"/>
      </w:divBdr>
      <w:divsChild>
        <w:div w:id="833499012">
          <w:marLeft w:val="0"/>
          <w:marRight w:val="0"/>
          <w:marTop w:val="0"/>
          <w:marBottom w:val="0"/>
          <w:divBdr>
            <w:top w:val="none" w:sz="0" w:space="0" w:color="auto"/>
            <w:left w:val="none" w:sz="0" w:space="0" w:color="auto"/>
            <w:bottom w:val="none" w:sz="0" w:space="0" w:color="auto"/>
            <w:right w:val="none" w:sz="0" w:space="0" w:color="auto"/>
          </w:divBdr>
          <w:divsChild>
            <w:div w:id="1430615199">
              <w:marLeft w:val="0"/>
              <w:marRight w:val="0"/>
              <w:marTop w:val="0"/>
              <w:marBottom w:val="0"/>
              <w:divBdr>
                <w:top w:val="none" w:sz="0" w:space="0" w:color="auto"/>
                <w:left w:val="none" w:sz="0" w:space="0" w:color="auto"/>
                <w:bottom w:val="none" w:sz="0" w:space="0" w:color="auto"/>
                <w:right w:val="none" w:sz="0" w:space="0" w:color="auto"/>
              </w:divBdr>
              <w:divsChild>
                <w:div w:id="1099790533">
                  <w:marLeft w:val="0"/>
                  <w:marRight w:val="0"/>
                  <w:marTop w:val="0"/>
                  <w:marBottom w:val="0"/>
                  <w:divBdr>
                    <w:top w:val="none" w:sz="0" w:space="0" w:color="auto"/>
                    <w:left w:val="none" w:sz="0" w:space="0" w:color="auto"/>
                    <w:bottom w:val="none" w:sz="0" w:space="0" w:color="auto"/>
                    <w:right w:val="none" w:sz="0" w:space="0" w:color="auto"/>
                  </w:divBdr>
                  <w:divsChild>
                    <w:div w:id="1790706576">
                      <w:marLeft w:val="0"/>
                      <w:marRight w:val="0"/>
                      <w:marTop w:val="0"/>
                      <w:marBottom w:val="0"/>
                      <w:divBdr>
                        <w:top w:val="none" w:sz="0" w:space="0" w:color="auto"/>
                        <w:left w:val="none" w:sz="0" w:space="0" w:color="auto"/>
                        <w:bottom w:val="none" w:sz="0" w:space="0" w:color="auto"/>
                        <w:right w:val="none" w:sz="0" w:space="0" w:color="auto"/>
                      </w:divBdr>
                      <w:divsChild>
                        <w:div w:id="1845853369">
                          <w:marLeft w:val="0"/>
                          <w:marRight w:val="0"/>
                          <w:marTop w:val="0"/>
                          <w:marBottom w:val="0"/>
                          <w:divBdr>
                            <w:top w:val="none" w:sz="0" w:space="0" w:color="auto"/>
                            <w:left w:val="none" w:sz="0" w:space="0" w:color="auto"/>
                            <w:bottom w:val="none" w:sz="0" w:space="0" w:color="auto"/>
                            <w:right w:val="none" w:sz="0" w:space="0" w:color="auto"/>
                          </w:divBdr>
                          <w:divsChild>
                            <w:div w:id="36163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7F4EFB16-04F6-4C39-8C21-2D039F15B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TotalTime>
  <Pages>4</Pages>
  <Words>1770</Words>
  <Characters>10090</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안가연/연구원/C&amp;M표준(연)6G Radio표준Task</cp:lastModifiedBy>
  <cp:revision>5</cp:revision>
  <cp:lastPrinted>2014-08-09T03:01:00Z</cp:lastPrinted>
  <dcterms:created xsi:type="dcterms:W3CDTF">2025-02-07T01:57:00Z</dcterms:created>
  <dcterms:modified xsi:type="dcterms:W3CDTF">2025-02-07T08:18:00Z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